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29F15">
      <w:pPr>
        <w:bidi w:val="0"/>
        <w:rPr>
          <w:lang w:val="en-US" w:eastAsia="zh-CN"/>
        </w:rPr>
      </w:pPr>
      <w:bookmarkStart w:id="0" w:name="_GoBack"/>
      <w:bookmarkEnd w:id="0"/>
    </w:p>
    <w:p w14:paraId="164605D3">
      <w:pPr>
        <w:spacing w:after="156" w:afterLines="50" w:line="360" w:lineRule="auto"/>
        <w:jc w:val="center"/>
        <w:rPr>
          <w:rFonts w:hint="eastAsia" w:ascii="宋体" w:hAnsi="宋体" w:cs="宋体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36"/>
          <w:szCs w:val="36"/>
          <w:highlight w:val="none"/>
        </w:rPr>
        <w:t>采购需求</w:t>
      </w:r>
    </w:p>
    <w:p w14:paraId="5A071C89">
      <w:pPr>
        <w:pStyle w:val="4"/>
        <w:numPr>
          <w:ilvl w:val="0"/>
          <w:numId w:val="1"/>
        </w:num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基本情况</w:t>
      </w:r>
    </w:p>
    <w:p w14:paraId="2BC4C9C7">
      <w:pPr>
        <w:pStyle w:val="4"/>
        <w:spacing w:line="360" w:lineRule="auto"/>
        <w:ind w:left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东莞市创锦凤岗食品有限公司位于东莞市凤岗镇凤平路96号，占地面积10736.1平方米，建筑面积7431.13平方米，主要从事肉牛的屠宰及副产品（牛肉串及其他牛肉制品）的加工生产，年屠宰肉牛5.8万头、加工副产品（牛肉串及其他牛肉制品）3000吨。</w:t>
      </w:r>
    </w:p>
    <w:p w14:paraId="18574FB4">
      <w:pPr>
        <w:pStyle w:val="4"/>
        <w:numPr>
          <w:ilvl w:val="0"/>
          <w:numId w:val="1"/>
        </w:num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生产废水情况</w:t>
      </w:r>
    </w:p>
    <w:p w14:paraId="770DC733">
      <w:pPr>
        <w:pStyle w:val="4"/>
        <w:numPr>
          <w:ilvl w:val="0"/>
          <w:numId w:val="2"/>
        </w:numPr>
        <w:spacing w:line="360" w:lineRule="auto"/>
        <w:ind w:left="0" w:firstLine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产生情况</w:t>
      </w:r>
    </w:p>
    <w:p w14:paraId="13DB1628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项目生产废水包括车辆冲洗水、屠宰废水、急宰间废水、检疫仪器清洗废水，合计生产废水的产生量为164.97m</w:t>
      </w:r>
      <w:r>
        <w:rPr>
          <w:rFonts w:hint="eastAsia" w:ascii="仿宋" w:hAnsi="仿宋" w:eastAsia="仿宋"/>
          <w:sz w:val="24"/>
          <w:szCs w:val="24"/>
          <w:vertAlign w:val="superscript"/>
        </w:rPr>
        <w:t>3</w:t>
      </w:r>
      <w:r>
        <w:rPr>
          <w:rFonts w:hint="eastAsia" w:ascii="仿宋" w:hAnsi="仿宋" w:eastAsia="仿宋"/>
          <w:sz w:val="24"/>
          <w:szCs w:val="24"/>
        </w:rPr>
        <w:t>/d（59389.2t/a）。</w:t>
      </w:r>
    </w:p>
    <w:p w14:paraId="0FD0D695">
      <w:pPr>
        <w:pStyle w:val="4"/>
        <w:numPr>
          <w:ilvl w:val="0"/>
          <w:numId w:val="2"/>
        </w:numPr>
        <w:spacing w:line="360" w:lineRule="auto"/>
        <w:ind w:left="0" w:firstLine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处理工艺</w:t>
      </w:r>
    </w:p>
    <w:p w14:paraId="015EF02D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生产废水采用“</w:t>
      </w:r>
      <w:r>
        <w:rPr>
          <w:rFonts w:hint="eastAsia" w:ascii="仿宋" w:hAnsi="仿宋" w:eastAsia="仿宋"/>
          <w:sz w:val="24"/>
          <w:szCs w:val="24"/>
        </w:rPr>
        <w:t>自动格栅机+集水池+固液分离机+调节池+混凝反应气浮机+水解酸化池+高级厌氧罐+一级好氧硝化池+二级反硝化池+二、三级接触氧化池+终端混凝反应池+初沉池+二沉池+MBR池（回用水）+消毒池</w:t>
      </w:r>
      <w:r>
        <w:rPr>
          <w:rFonts w:ascii="仿宋" w:hAnsi="仿宋" w:eastAsia="仿宋"/>
          <w:sz w:val="24"/>
          <w:szCs w:val="24"/>
        </w:rPr>
        <w:t>”，废水经自建的废水处理站处理后，85%（</w:t>
      </w:r>
      <w:r>
        <w:rPr>
          <w:rFonts w:hint="eastAsia" w:ascii="仿宋" w:hAnsi="仿宋" w:eastAsia="仿宋"/>
          <w:sz w:val="24"/>
          <w:szCs w:val="24"/>
        </w:rPr>
        <w:t>140</w:t>
      </w:r>
      <w:r>
        <w:rPr>
          <w:rFonts w:ascii="仿宋" w:hAnsi="仿宋" w:eastAsia="仿宋"/>
          <w:sz w:val="24"/>
          <w:szCs w:val="24"/>
        </w:rPr>
        <w:t>m</w:t>
      </w:r>
      <w:r>
        <w:rPr>
          <w:rFonts w:ascii="仿宋" w:hAnsi="仿宋" w:eastAsia="仿宋"/>
          <w:sz w:val="24"/>
          <w:szCs w:val="24"/>
          <w:vertAlign w:val="superscript"/>
        </w:rPr>
        <w:t>3</w:t>
      </w:r>
      <w:r>
        <w:rPr>
          <w:rFonts w:ascii="仿宋" w:hAnsi="仿宋" w:eastAsia="仿宋"/>
          <w:sz w:val="24"/>
          <w:szCs w:val="24"/>
        </w:rPr>
        <w:t>/d）达到《肉类加工工业水污染物排放标准》（GB13457-92）中表3的三级标准与广东省《水污染物排放限值》（DB44/26-2001）第二时段三级标准、《</w:t>
      </w:r>
      <w:r>
        <w:rPr>
          <w:rFonts w:hint="eastAsia" w:ascii="仿宋" w:hAnsi="仿宋" w:eastAsia="仿宋"/>
          <w:sz w:val="24"/>
          <w:szCs w:val="24"/>
        </w:rPr>
        <w:t>污水排入城镇下水道水质标准</w:t>
      </w:r>
      <w:r>
        <w:rPr>
          <w:rFonts w:ascii="仿宋" w:hAnsi="仿宋" w:eastAsia="仿宋"/>
          <w:sz w:val="24"/>
          <w:szCs w:val="24"/>
        </w:rPr>
        <w:t>》（GB/T31962-2015）B等级的较严值后排入东莞市凤岗镇竹塘污水处理厂，剩余</w:t>
      </w:r>
      <w:r>
        <w:rPr>
          <w:rFonts w:hint="eastAsia" w:ascii="仿宋" w:hAnsi="仿宋" w:eastAsia="仿宋"/>
          <w:sz w:val="24"/>
          <w:szCs w:val="24"/>
        </w:rPr>
        <w:t>15%（24.97</w:t>
      </w:r>
      <w:r>
        <w:rPr>
          <w:rFonts w:ascii="仿宋" w:hAnsi="仿宋" w:eastAsia="仿宋"/>
          <w:sz w:val="24"/>
          <w:szCs w:val="24"/>
        </w:rPr>
        <w:t>m3/d）废水达到</w:t>
      </w:r>
      <w:r>
        <w:rPr>
          <w:rFonts w:hint="eastAsia" w:ascii="仿宋" w:hAnsi="仿宋" w:eastAsia="仿宋"/>
          <w:sz w:val="24"/>
          <w:szCs w:val="24"/>
        </w:rPr>
        <w:t>《城市污水再生利用 工业用水水质》(GB/T19923-2024)</w:t>
      </w:r>
      <w:r>
        <w:rPr>
          <w:rFonts w:ascii="仿宋" w:hAnsi="仿宋" w:eastAsia="仿宋"/>
          <w:sz w:val="24"/>
          <w:szCs w:val="24"/>
        </w:rPr>
        <w:t>中洗涤用水标准后回用于运输车辆清洗、待宰车间地面冲洗。</w:t>
      </w:r>
    </w:p>
    <w:p w14:paraId="5E76AF70">
      <w:pPr>
        <w:pStyle w:val="4"/>
        <w:numPr>
          <w:ilvl w:val="0"/>
          <w:numId w:val="2"/>
        </w:numPr>
        <w:spacing w:line="360" w:lineRule="auto"/>
        <w:ind w:left="0" w:firstLine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运营工作内容</w:t>
      </w:r>
    </w:p>
    <w:p w14:paraId="3B1504D8">
      <w:pPr>
        <w:pStyle w:val="4"/>
        <w:numPr>
          <w:ilvl w:val="0"/>
          <w:numId w:val="3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保证污水处理站正常运转，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符合环保规定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4CFF0C00">
      <w:pPr>
        <w:pStyle w:val="4"/>
        <w:numPr>
          <w:ilvl w:val="0"/>
          <w:numId w:val="3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运营费用报价包含日常巡检、药剂、设备维护与保养、水质常规检测用药品以及人工费；</w:t>
      </w:r>
    </w:p>
    <w:p w14:paraId="56EB4AB9">
      <w:pPr>
        <w:pStyle w:val="4"/>
        <w:numPr>
          <w:ilvl w:val="0"/>
          <w:numId w:val="3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水质检测：根据排污许可证要求，定期委托第三方对排放水、回用水、雨水进行检测，提供第三方检测报告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(4季度)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5122A58E">
      <w:pPr>
        <w:pStyle w:val="4"/>
        <w:numPr>
          <w:ilvl w:val="0"/>
          <w:numId w:val="3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做好运营台账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,网上申报年审等</w:t>
      </w:r>
      <w:r>
        <w:rPr>
          <w:rFonts w:hint="eastAsia" w:ascii="仿宋" w:hAnsi="仿宋" w:eastAsia="仿宋"/>
          <w:sz w:val="24"/>
          <w:szCs w:val="24"/>
        </w:rPr>
        <w:t>，包括运行时间、运行能耗费用、处理效率、处理量、废水排放量、回用水量、药剂使用情况、设施维修维护情况等；</w:t>
      </w:r>
    </w:p>
    <w:p w14:paraId="5BE70964">
      <w:pPr>
        <w:pStyle w:val="4"/>
        <w:numPr>
          <w:ilvl w:val="0"/>
          <w:numId w:val="3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做好污水处理站范围内的环境卫生，协助清运一次性固废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(包括叉车费)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365F00D4">
      <w:pPr>
        <w:pStyle w:val="4"/>
        <w:numPr>
          <w:ilvl w:val="0"/>
          <w:numId w:val="3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污水站排放水质感官要求：清澈、透明、无明显悬浮物、无异味。</w:t>
      </w:r>
    </w:p>
    <w:p w14:paraId="2A868400">
      <w:pPr>
        <w:pStyle w:val="4"/>
        <w:numPr>
          <w:ilvl w:val="0"/>
          <w:numId w:val="3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废气运营维护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,做好开关维修登记台账.</w:t>
      </w:r>
    </w:p>
    <w:p w14:paraId="5701BE8A">
      <w:pPr>
        <w:pStyle w:val="4"/>
        <w:numPr>
          <w:ilvl w:val="0"/>
          <w:numId w:val="3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涉水重点单位过程自动在线监控运营年费(包括台账维护试剂等)</w:t>
      </w:r>
    </w:p>
    <w:p w14:paraId="6EF112E0">
      <w:pPr>
        <w:pStyle w:val="4"/>
        <w:numPr>
          <w:ilvl w:val="0"/>
          <w:numId w:val="3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末端在线监控维保运营费</w:t>
      </w:r>
    </w:p>
    <w:p w14:paraId="5CE1C372">
      <w:pPr>
        <w:pStyle w:val="4"/>
        <w:numPr>
          <w:ilvl w:val="0"/>
          <w:numId w:val="3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负责污水处理站日常运转工作，每天污水处理量在300m³以内。</w:t>
      </w:r>
    </w:p>
    <w:p w14:paraId="210C4E19">
      <w:pPr>
        <w:pStyle w:val="4"/>
        <w:numPr>
          <w:ilvl w:val="0"/>
          <w:numId w:val="1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生产废气情况</w:t>
      </w:r>
    </w:p>
    <w:p w14:paraId="390C693C">
      <w:pPr>
        <w:pStyle w:val="4"/>
        <w:numPr>
          <w:ilvl w:val="0"/>
          <w:numId w:val="4"/>
        </w:numPr>
        <w:spacing w:line="360" w:lineRule="auto"/>
        <w:ind w:left="0" w:firstLine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产生情况</w:t>
      </w:r>
    </w:p>
    <w:p w14:paraId="6D0E3202">
      <w:pPr>
        <w:pStyle w:val="4"/>
        <w:spacing w:line="360" w:lineRule="auto"/>
        <w:ind w:left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项目大气污染主要为恶臭污染，主要包括待宰圈恶臭、屠宰间恶臭、污水处理站恶臭和固废仓恶臭，主要污染因子为NH</w:t>
      </w:r>
      <w:r>
        <w:rPr>
          <w:rFonts w:hint="eastAsia" w:ascii="仿宋" w:hAnsi="仿宋" w:eastAsia="仿宋"/>
          <w:sz w:val="24"/>
          <w:szCs w:val="24"/>
          <w:vertAlign w:val="subscript"/>
        </w:rPr>
        <w:t>3</w:t>
      </w:r>
      <w:r>
        <w:rPr>
          <w:rFonts w:hint="eastAsia" w:ascii="仿宋" w:hAnsi="仿宋" w:eastAsia="仿宋"/>
          <w:sz w:val="24"/>
          <w:szCs w:val="24"/>
        </w:rPr>
        <w:t>、H</w:t>
      </w:r>
      <w:r>
        <w:rPr>
          <w:rFonts w:hint="eastAsia" w:ascii="仿宋" w:hAnsi="仿宋" w:eastAsia="仿宋"/>
          <w:sz w:val="24"/>
          <w:szCs w:val="24"/>
          <w:vertAlign w:val="subscript"/>
        </w:rPr>
        <w:t>2</w:t>
      </w:r>
      <w:r>
        <w:rPr>
          <w:rFonts w:hint="eastAsia" w:ascii="仿宋" w:hAnsi="仿宋" w:eastAsia="仿宋"/>
          <w:sz w:val="24"/>
          <w:szCs w:val="24"/>
        </w:rPr>
        <w:t>S、臭气浓度。</w:t>
      </w:r>
    </w:p>
    <w:p w14:paraId="5EF0613F">
      <w:pPr>
        <w:pStyle w:val="4"/>
        <w:numPr>
          <w:ilvl w:val="0"/>
          <w:numId w:val="4"/>
        </w:numPr>
        <w:spacing w:line="360" w:lineRule="auto"/>
        <w:ind w:left="0" w:firstLine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处理工艺</w:t>
      </w:r>
    </w:p>
    <w:p w14:paraId="47763214">
      <w:pPr>
        <w:pStyle w:val="4"/>
        <w:spacing w:line="360" w:lineRule="auto"/>
        <w:ind w:left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恶臭气体分别引入两套“生物过滤除臭净化系统”装置中进行处理，处理风量分别为65000m</w:t>
      </w:r>
      <w:r>
        <w:rPr>
          <w:rFonts w:hint="eastAsia" w:ascii="仿宋" w:hAnsi="仿宋" w:eastAsia="仿宋"/>
          <w:sz w:val="24"/>
          <w:szCs w:val="24"/>
          <w:vertAlign w:val="superscript"/>
        </w:rPr>
        <w:t>3</w:t>
      </w:r>
      <w:r>
        <w:rPr>
          <w:rFonts w:hint="eastAsia" w:ascii="仿宋" w:hAnsi="仿宋" w:eastAsia="仿宋"/>
          <w:sz w:val="24"/>
          <w:szCs w:val="24"/>
        </w:rPr>
        <w:t>/h和55000m</w:t>
      </w:r>
      <w:r>
        <w:rPr>
          <w:rFonts w:hint="eastAsia" w:ascii="仿宋" w:hAnsi="仿宋" w:eastAsia="仿宋"/>
          <w:sz w:val="24"/>
          <w:szCs w:val="24"/>
          <w:vertAlign w:val="superscript"/>
        </w:rPr>
        <w:t>3</w:t>
      </w:r>
      <w:r>
        <w:rPr>
          <w:rFonts w:hint="eastAsia" w:ascii="仿宋" w:hAnsi="仿宋" w:eastAsia="仿宋"/>
          <w:sz w:val="24"/>
          <w:szCs w:val="24"/>
        </w:rPr>
        <w:t>/h，经处理后的恶臭污染物均能够满足《恶臭污染物排放标准》（GB14554-93）中表2标准的要求。</w:t>
      </w:r>
    </w:p>
    <w:p w14:paraId="5AE814B2">
      <w:pPr>
        <w:pStyle w:val="4"/>
        <w:numPr>
          <w:ilvl w:val="0"/>
          <w:numId w:val="4"/>
        </w:numPr>
        <w:spacing w:line="360" w:lineRule="auto"/>
        <w:ind w:left="0" w:firstLine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运营工作内容</w:t>
      </w:r>
    </w:p>
    <w:p w14:paraId="7607FED5">
      <w:pPr>
        <w:pStyle w:val="4"/>
        <w:numPr>
          <w:ilvl w:val="0"/>
          <w:numId w:val="5"/>
        </w:numPr>
        <w:spacing w:line="360" w:lineRule="auto"/>
        <w:ind w:left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保证废气处理设施正常运转，无跑冒滴漏，确保达标排放；</w:t>
      </w:r>
    </w:p>
    <w:p w14:paraId="205507D8">
      <w:pPr>
        <w:pStyle w:val="4"/>
        <w:numPr>
          <w:ilvl w:val="0"/>
          <w:numId w:val="5"/>
        </w:numPr>
        <w:spacing w:line="360" w:lineRule="auto"/>
        <w:ind w:left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运营费用报价包含日常巡检、药剂、设备维护与保养以及人工费；</w:t>
      </w:r>
    </w:p>
    <w:p w14:paraId="7F4375F1">
      <w:pPr>
        <w:pStyle w:val="4"/>
        <w:numPr>
          <w:ilvl w:val="0"/>
          <w:numId w:val="5"/>
        </w:numPr>
        <w:spacing w:line="360" w:lineRule="auto"/>
        <w:ind w:left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废气检测：根据排污许可证要求，定期委托第三方对废气产排情况进行检测，提供第三方检测报告；</w:t>
      </w:r>
    </w:p>
    <w:p w14:paraId="6E72E167">
      <w:pPr>
        <w:pStyle w:val="4"/>
        <w:numPr>
          <w:ilvl w:val="0"/>
          <w:numId w:val="5"/>
        </w:numPr>
        <w:spacing w:line="360" w:lineRule="auto"/>
        <w:ind w:left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做好运营台账，包括运行时间、运行能耗费用、处理效率、药剂使用情况、维修维护情况等。</w:t>
      </w:r>
    </w:p>
    <w:p w14:paraId="6F44F15D">
      <w:pPr>
        <w:pStyle w:val="4"/>
        <w:numPr>
          <w:ilvl w:val="0"/>
          <w:numId w:val="1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其他运营事项</w:t>
      </w:r>
    </w:p>
    <w:p w14:paraId="09DEC866">
      <w:pPr>
        <w:pStyle w:val="4"/>
        <w:numPr>
          <w:ilvl w:val="0"/>
          <w:numId w:val="6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环保管理</w:t>
      </w:r>
    </w:p>
    <w:p w14:paraId="2EF85864">
      <w:pPr>
        <w:pStyle w:val="4"/>
        <w:numPr>
          <w:ilvl w:val="0"/>
          <w:numId w:val="7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对生产经营活动进行环保合法合规巡检，排查存在的环保问题，提出建议解决方案；</w:t>
      </w:r>
    </w:p>
    <w:p w14:paraId="188B565A">
      <w:pPr>
        <w:pStyle w:val="4"/>
        <w:numPr>
          <w:ilvl w:val="0"/>
          <w:numId w:val="7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指导建立规范化的环保档案，协助制定环保管理制度、环保责任制度，为三废（废气、废水、固废）的规范化管理提供指导意见，指导填报固体废物产生、贮存转运台账记录。</w:t>
      </w:r>
    </w:p>
    <w:p w14:paraId="11E43774">
      <w:pPr>
        <w:pStyle w:val="4"/>
        <w:numPr>
          <w:ilvl w:val="0"/>
          <w:numId w:val="7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进行环境风险排查，针对发现问题提出整改方案并指导实施；</w:t>
      </w:r>
    </w:p>
    <w:p w14:paraId="0FA6FE46">
      <w:pPr>
        <w:pStyle w:val="4"/>
        <w:numPr>
          <w:ilvl w:val="0"/>
          <w:numId w:val="7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及时追踪国家和地方相关法规、政策及标准，结合实际情况向企业提供环境政策与技术咨询；</w:t>
      </w:r>
    </w:p>
    <w:p w14:paraId="42A0D157">
      <w:pPr>
        <w:pStyle w:val="4"/>
        <w:numPr>
          <w:ilvl w:val="0"/>
          <w:numId w:val="7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协助向环保主管部门汇报沟通环保工作情况等。</w:t>
      </w:r>
    </w:p>
    <w:p w14:paraId="15FAA2CD">
      <w:pPr>
        <w:pStyle w:val="4"/>
        <w:numPr>
          <w:ilvl w:val="0"/>
          <w:numId w:val="6"/>
        </w:num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平台填报</w:t>
      </w:r>
    </w:p>
    <w:p w14:paraId="3FB1C552">
      <w:pPr>
        <w:pStyle w:val="4"/>
        <w:spacing w:line="360" w:lineRule="auto"/>
        <w:ind w:left="84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</w:t>
      </w:r>
      <w:r>
        <w:rPr>
          <w:rFonts w:hint="eastAsia" w:ascii="仿宋" w:hAnsi="仿宋" w:eastAsia="仿宋"/>
          <w:sz w:val="24"/>
          <w:szCs w:val="24"/>
          <w:highlight w:val="none"/>
        </w:rPr>
        <w:t>全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国</w:t>
      </w:r>
      <w:r>
        <w:rPr>
          <w:rFonts w:hint="eastAsia" w:ascii="仿宋" w:hAnsi="仿宋" w:eastAsia="仿宋"/>
          <w:sz w:val="24"/>
          <w:szCs w:val="24"/>
          <w:highlight w:val="none"/>
        </w:rPr>
        <w:t>排污</w:t>
      </w:r>
      <w:r>
        <w:rPr>
          <w:rFonts w:hint="eastAsia" w:ascii="仿宋" w:hAnsi="仿宋" w:eastAsia="仿宋"/>
          <w:sz w:val="24"/>
          <w:szCs w:val="24"/>
        </w:rPr>
        <w:t>许可证管理信息平台：季报+年报。季报在下季度初完成上季度季报填报；次年年初完成上年度年报填报。若项目情况发生变化，根据实际情况进行排污证变更或者重新申请。</w:t>
      </w:r>
    </w:p>
    <w:p w14:paraId="589C14CA">
      <w:pPr>
        <w:pStyle w:val="4"/>
        <w:spacing w:line="360" w:lineRule="auto"/>
        <w:ind w:left="84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（2）全国污染源监测数据管理与共享系统：自然年内按排污证监测凭此要求填报历次监测数据</w:t>
      </w:r>
    </w:p>
    <w:p w14:paraId="696C7017">
      <w:pPr>
        <w:pStyle w:val="4"/>
        <w:spacing w:line="360" w:lineRule="auto"/>
        <w:ind w:left="84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（3）东莞市污染源一体化监控平台（污染源在线监控）：生产废水排放口安装在线监控后，根据污水站运行情况，关联监管监控数据上传情况以及数据数值的变化情况。</w:t>
      </w:r>
    </w:p>
    <w:p w14:paraId="584976AE">
      <w:pPr>
        <w:pStyle w:val="4"/>
        <w:spacing w:line="360" w:lineRule="auto"/>
        <w:ind w:left="84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（4）广东省固体废物环境监测信息平台：签订一般固废转移合同后（目前市场上合同一般一年一签，到期前一个月按排续签），根据一般固废实际产运情况，填报省固废平台。</w:t>
      </w:r>
    </w:p>
    <w:p w14:paraId="6BB344CB">
      <w:pPr>
        <w:pStyle w:val="4"/>
        <w:spacing w:line="360" w:lineRule="auto"/>
        <w:ind w:left="84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（5）东莞市固体废物污染防治综合管理平台：按时环保通知要求在平台上填写当年度的自评工作。当年度一般固废产生、贮存、转运等情况的台账明细上传填报到该系统中。</w:t>
      </w:r>
    </w:p>
    <w:p w14:paraId="0F6639FB">
      <w:pPr>
        <w:pStyle w:val="4"/>
        <w:spacing w:line="360" w:lineRule="auto"/>
        <w:ind w:left="84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（6）企业环境信息依法披露系统（广东）：填写企业上年度实际运营情况数据后开展信息披露，包括基础信息、生产情况、环保税、污染物排放、应急等信息。</w:t>
      </w:r>
    </w:p>
    <w:p w14:paraId="07118A3E">
      <w:pPr>
        <w:pStyle w:val="4"/>
        <w:spacing w:line="360" w:lineRule="auto"/>
        <w:ind w:left="84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（7）其他环保通知需要填报的平台系统。</w:t>
      </w:r>
    </w:p>
    <w:p w14:paraId="4B302CAB">
      <w:pPr>
        <w:tabs>
          <w:tab w:val="left" w:pos="2687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C3FD6"/>
    <w:multiLevelType w:val="multilevel"/>
    <w:tmpl w:val="025C3FD6"/>
    <w:lvl w:ilvl="0" w:tentative="0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40"/>
      </w:pPr>
    </w:lvl>
    <w:lvl w:ilvl="2" w:tentative="0">
      <w:start w:val="1"/>
      <w:numFmt w:val="lowerRoman"/>
      <w:lvlText w:val="%3."/>
      <w:lvlJc w:val="right"/>
      <w:pPr>
        <w:ind w:left="1752" w:hanging="440"/>
      </w:pPr>
    </w:lvl>
    <w:lvl w:ilvl="3" w:tentative="0">
      <w:start w:val="1"/>
      <w:numFmt w:val="decimal"/>
      <w:lvlText w:val="%4."/>
      <w:lvlJc w:val="left"/>
      <w:pPr>
        <w:ind w:left="2192" w:hanging="440"/>
      </w:pPr>
    </w:lvl>
    <w:lvl w:ilvl="4" w:tentative="0">
      <w:start w:val="1"/>
      <w:numFmt w:val="lowerLetter"/>
      <w:lvlText w:val="%5)"/>
      <w:lvlJc w:val="left"/>
      <w:pPr>
        <w:ind w:left="2632" w:hanging="440"/>
      </w:pPr>
    </w:lvl>
    <w:lvl w:ilvl="5" w:tentative="0">
      <w:start w:val="1"/>
      <w:numFmt w:val="lowerRoman"/>
      <w:lvlText w:val="%6."/>
      <w:lvlJc w:val="right"/>
      <w:pPr>
        <w:ind w:left="3072" w:hanging="440"/>
      </w:pPr>
    </w:lvl>
    <w:lvl w:ilvl="6" w:tentative="0">
      <w:start w:val="1"/>
      <w:numFmt w:val="decimal"/>
      <w:lvlText w:val="%7."/>
      <w:lvlJc w:val="left"/>
      <w:pPr>
        <w:ind w:left="3512" w:hanging="440"/>
      </w:pPr>
    </w:lvl>
    <w:lvl w:ilvl="7" w:tentative="0">
      <w:start w:val="1"/>
      <w:numFmt w:val="lowerLetter"/>
      <w:lvlText w:val="%8)"/>
      <w:lvlJc w:val="left"/>
      <w:pPr>
        <w:ind w:left="3952" w:hanging="440"/>
      </w:pPr>
    </w:lvl>
    <w:lvl w:ilvl="8" w:tentative="0">
      <w:start w:val="1"/>
      <w:numFmt w:val="lowerRoman"/>
      <w:lvlText w:val="%9."/>
      <w:lvlJc w:val="right"/>
      <w:pPr>
        <w:ind w:left="4392" w:hanging="440"/>
      </w:pPr>
    </w:lvl>
  </w:abstractNum>
  <w:abstractNum w:abstractNumId="1">
    <w:nsid w:val="09830F2B"/>
    <w:multiLevelType w:val="multilevel"/>
    <w:tmpl w:val="09830F2B"/>
    <w:lvl w:ilvl="0" w:tentative="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20" w:hanging="440"/>
      </w:pPr>
    </w:lvl>
    <w:lvl w:ilvl="2" w:tentative="0">
      <w:start w:val="1"/>
      <w:numFmt w:val="lowerRoman"/>
      <w:lvlText w:val="%3."/>
      <w:lvlJc w:val="right"/>
      <w:pPr>
        <w:ind w:left="2160" w:hanging="440"/>
      </w:pPr>
    </w:lvl>
    <w:lvl w:ilvl="3" w:tentative="0">
      <w:start w:val="1"/>
      <w:numFmt w:val="decimal"/>
      <w:lvlText w:val="%4."/>
      <w:lvlJc w:val="left"/>
      <w:pPr>
        <w:ind w:left="2600" w:hanging="440"/>
      </w:pPr>
    </w:lvl>
    <w:lvl w:ilvl="4" w:tentative="0">
      <w:start w:val="1"/>
      <w:numFmt w:val="lowerLetter"/>
      <w:lvlText w:val="%5)"/>
      <w:lvlJc w:val="left"/>
      <w:pPr>
        <w:ind w:left="3040" w:hanging="440"/>
      </w:pPr>
    </w:lvl>
    <w:lvl w:ilvl="5" w:tentative="0">
      <w:start w:val="1"/>
      <w:numFmt w:val="lowerRoman"/>
      <w:lvlText w:val="%6."/>
      <w:lvlJc w:val="right"/>
      <w:pPr>
        <w:ind w:left="3480" w:hanging="440"/>
      </w:pPr>
    </w:lvl>
    <w:lvl w:ilvl="6" w:tentative="0">
      <w:start w:val="1"/>
      <w:numFmt w:val="decimal"/>
      <w:lvlText w:val="%7."/>
      <w:lvlJc w:val="left"/>
      <w:pPr>
        <w:ind w:left="3920" w:hanging="440"/>
      </w:pPr>
    </w:lvl>
    <w:lvl w:ilvl="7" w:tentative="0">
      <w:start w:val="1"/>
      <w:numFmt w:val="lowerLetter"/>
      <w:lvlText w:val="%8)"/>
      <w:lvlJc w:val="left"/>
      <w:pPr>
        <w:ind w:left="4360" w:hanging="440"/>
      </w:pPr>
    </w:lvl>
    <w:lvl w:ilvl="8" w:tentative="0">
      <w:start w:val="1"/>
      <w:numFmt w:val="lowerRoman"/>
      <w:lvlText w:val="%9."/>
      <w:lvlJc w:val="right"/>
      <w:pPr>
        <w:ind w:left="4800" w:hanging="440"/>
      </w:pPr>
    </w:lvl>
  </w:abstractNum>
  <w:abstractNum w:abstractNumId="2">
    <w:nsid w:val="11F64B86"/>
    <w:multiLevelType w:val="multilevel"/>
    <w:tmpl w:val="11F64B86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3">
    <w:nsid w:val="2ADF73B4"/>
    <w:multiLevelType w:val="multilevel"/>
    <w:tmpl w:val="2ADF73B4"/>
    <w:lvl w:ilvl="0" w:tentative="0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40"/>
      </w:pPr>
    </w:lvl>
    <w:lvl w:ilvl="2" w:tentative="0">
      <w:start w:val="1"/>
      <w:numFmt w:val="lowerRoman"/>
      <w:lvlText w:val="%3."/>
      <w:lvlJc w:val="right"/>
      <w:pPr>
        <w:ind w:left="1752" w:hanging="440"/>
      </w:pPr>
    </w:lvl>
    <w:lvl w:ilvl="3" w:tentative="0">
      <w:start w:val="1"/>
      <w:numFmt w:val="decimal"/>
      <w:lvlText w:val="%4."/>
      <w:lvlJc w:val="left"/>
      <w:pPr>
        <w:ind w:left="2192" w:hanging="440"/>
      </w:pPr>
    </w:lvl>
    <w:lvl w:ilvl="4" w:tentative="0">
      <w:start w:val="1"/>
      <w:numFmt w:val="lowerLetter"/>
      <w:lvlText w:val="%5)"/>
      <w:lvlJc w:val="left"/>
      <w:pPr>
        <w:ind w:left="2632" w:hanging="440"/>
      </w:pPr>
    </w:lvl>
    <w:lvl w:ilvl="5" w:tentative="0">
      <w:start w:val="1"/>
      <w:numFmt w:val="lowerRoman"/>
      <w:lvlText w:val="%6."/>
      <w:lvlJc w:val="right"/>
      <w:pPr>
        <w:ind w:left="3072" w:hanging="440"/>
      </w:pPr>
    </w:lvl>
    <w:lvl w:ilvl="6" w:tentative="0">
      <w:start w:val="1"/>
      <w:numFmt w:val="decimal"/>
      <w:lvlText w:val="%7."/>
      <w:lvlJc w:val="left"/>
      <w:pPr>
        <w:ind w:left="3512" w:hanging="440"/>
      </w:pPr>
    </w:lvl>
    <w:lvl w:ilvl="7" w:tentative="0">
      <w:start w:val="1"/>
      <w:numFmt w:val="lowerLetter"/>
      <w:lvlText w:val="%8)"/>
      <w:lvlJc w:val="left"/>
      <w:pPr>
        <w:ind w:left="3952" w:hanging="440"/>
      </w:pPr>
    </w:lvl>
    <w:lvl w:ilvl="8" w:tentative="0">
      <w:start w:val="1"/>
      <w:numFmt w:val="lowerRoman"/>
      <w:lvlText w:val="%9."/>
      <w:lvlJc w:val="right"/>
      <w:pPr>
        <w:ind w:left="4392" w:hanging="440"/>
      </w:pPr>
    </w:lvl>
  </w:abstractNum>
  <w:abstractNum w:abstractNumId="4">
    <w:nsid w:val="53F94672"/>
    <w:multiLevelType w:val="multilevel"/>
    <w:tmpl w:val="53F94672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5">
    <w:nsid w:val="65E55102"/>
    <w:multiLevelType w:val="multilevel"/>
    <w:tmpl w:val="65E55102"/>
    <w:lvl w:ilvl="0" w:tentative="0">
      <w:start w:val="1"/>
      <w:numFmt w:val="decimal"/>
      <w:lvlText w:val="（%1）"/>
      <w:lvlJc w:val="left"/>
      <w:pPr>
        <w:ind w:left="151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72" w:hanging="440"/>
      </w:pPr>
    </w:lvl>
    <w:lvl w:ilvl="2" w:tentative="0">
      <w:start w:val="1"/>
      <w:numFmt w:val="lowerRoman"/>
      <w:lvlText w:val="%3."/>
      <w:lvlJc w:val="right"/>
      <w:pPr>
        <w:ind w:left="2112" w:hanging="440"/>
      </w:pPr>
    </w:lvl>
    <w:lvl w:ilvl="3" w:tentative="0">
      <w:start w:val="1"/>
      <w:numFmt w:val="decimal"/>
      <w:lvlText w:val="%4."/>
      <w:lvlJc w:val="left"/>
      <w:pPr>
        <w:ind w:left="2552" w:hanging="440"/>
      </w:pPr>
    </w:lvl>
    <w:lvl w:ilvl="4" w:tentative="0">
      <w:start w:val="1"/>
      <w:numFmt w:val="lowerLetter"/>
      <w:lvlText w:val="%5)"/>
      <w:lvlJc w:val="left"/>
      <w:pPr>
        <w:ind w:left="2992" w:hanging="440"/>
      </w:pPr>
    </w:lvl>
    <w:lvl w:ilvl="5" w:tentative="0">
      <w:start w:val="1"/>
      <w:numFmt w:val="lowerRoman"/>
      <w:lvlText w:val="%6."/>
      <w:lvlJc w:val="right"/>
      <w:pPr>
        <w:ind w:left="3432" w:hanging="440"/>
      </w:pPr>
    </w:lvl>
    <w:lvl w:ilvl="6" w:tentative="0">
      <w:start w:val="1"/>
      <w:numFmt w:val="decimal"/>
      <w:lvlText w:val="%7."/>
      <w:lvlJc w:val="left"/>
      <w:pPr>
        <w:ind w:left="3872" w:hanging="440"/>
      </w:pPr>
    </w:lvl>
    <w:lvl w:ilvl="7" w:tentative="0">
      <w:start w:val="1"/>
      <w:numFmt w:val="lowerLetter"/>
      <w:lvlText w:val="%8)"/>
      <w:lvlJc w:val="left"/>
      <w:pPr>
        <w:ind w:left="4312" w:hanging="440"/>
      </w:pPr>
    </w:lvl>
    <w:lvl w:ilvl="8" w:tentative="0">
      <w:start w:val="1"/>
      <w:numFmt w:val="lowerRoman"/>
      <w:lvlText w:val="%9."/>
      <w:lvlJc w:val="right"/>
      <w:pPr>
        <w:ind w:left="4752" w:hanging="440"/>
      </w:pPr>
    </w:lvl>
  </w:abstractNum>
  <w:abstractNum w:abstractNumId="6">
    <w:nsid w:val="68775DE7"/>
    <w:multiLevelType w:val="multilevel"/>
    <w:tmpl w:val="68775DE7"/>
    <w:lvl w:ilvl="0" w:tentative="0">
      <w:start w:val="1"/>
      <w:numFmt w:val="chineseCountingThousand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2025-07-14T07:53:42Z</dcterms:created>
  <dc:creator>aaa</dc:creator>
  <cp:lastModifiedBy>黄权文</cp:lastModifiedBy>
  <dcterms:modified xsi:type="dcterms:W3CDTF">2025-07-14T07:54:00Z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eyJoZGlkIjoiOGEwMTFkZmNjMDQyMDY0Y2I5MWUyODdjYmM5YjhiYzAiLCJ1c2VySWQiOiI0MDU4NDUzNDkifQ==</vt:lpwstr>
  </property>
  <property fmtid="{D5CDD505-2E9C-101B-9397-08002B2CF9AE}" pid="4" name="ICV">
    <vt:lpwstr>5BB454DABA7248CDBEB21739B4B4A8B6_12</vt:lpwstr>
  </property>
</Properties>
</file>