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5A9FB">
      <w:pPr>
        <w:pStyle w:val="2"/>
        <w:keepNext w:val="0"/>
        <w:keepLines w:val="0"/>
        <w:pageBreakBefore/>
        <w:spacing w:line="360" w:lineRule="auto"/>
        <w:jc w:val="center"/>
        <w:rPr>
          <w:rFonts w:ascii="黑体" w:hAnsi="黑体" w:eastAsia="黑体"/>
          <w:color w:val="auto"/>
          <w:spacing w:val="20"/>
          <w:sz w:val="32"/>
          <w:szCs w:val="32"/>
          <w:highlight w:val="none"/>
        </w:rPr>
      </w:pPr>
      <w:r>
        <w:rPr>
          <w:rFonts w:hint="eastAsia" w:ascii="黑体" w:hAnsi="黑体" w:eastAsia="黑体"/>
          <w:color w:val="auto"/>
          <w:spacing w:val="20"/>
          <w:sz w:val="32"/>
          <w:szCs w:val="32"/>
          <w:highlight w:val="none"/>
        </w:rPr>
        <w:t>采购需求书</w:t>
      </w:r>
    </w:p>
    <w:p w14:paraId="4F5926CA">
      <w:pPr>
        <w:pStyle w:val="14"/>
        <w:tabs>
          <w:tab w:val="left" w:pos="426"/>
        </w:tabs>
        <w:spacing w:beforeLines="10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一、项目基本情况</w:t>
      </w:r>
    </w:p>
    <w:p w14:paraId="2604BA9E">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（一）项目背景</w:t>
      </w:r>
    </w:p>
    <w:p w14:paraId="4D86C5C6">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东莞市社会保险基金管理中心于2020年对社区“诊疗一卡通”平台升级，通过诊疗一卡通自助终端在市内社区卫生服务机构实现看病就医一卡通，拓展社保卡、电子社保卡、医保电子凭证、健康码的医疗功能的应用，实现社保、金融、诊疗、健康档案等各类应用系统的集成，方便人民群众享受医疗待遇和金融服务。</w:t>
      </w:r>
    </w:p>
    <w:p w14:paraId="455EF3D5">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（二）项目现状</w:t>
      </w:r>
    </w:p>
    <w:p w14:paraId="0455C827">
      <w:pPr>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2020年，东莞市社会保险基金管理中心通过公开招标方式引入了合作银行共同升级社区“诊疗一卡通”平台，平台</w:t>
      </w:r>
      <w:bookmarkStart w:id="15" w:name="_GoBack"/>
      <w:bookmarkEnd w:id="15"/>
      <w:r>
        <w:rPr>
          <w:rFonts w:hint="eastAsia" w:ascii="黑体" w:hAnsi="黑体" w:eastAsia="黑体"/>
          <w:color w:val="auto"/>
          <w:highlight w:val="none"/>
        </w:rPr>
        <w:t>以社保卡“一卡通”应用为出发点，融通国家医保系统、东莞市社区卫生服务系统等平台，实现社保卡、银行卡、电子社保卡、医保电子凭证、健康码的多凭证合一，在市内社区卫生服务机构进行挂号与缴费等功能，为群众提供便民利民服务。目前在全市389个定点社区卫生服务机构已铺设了550多台自助设备，提供自助实名建档、挂号（预约挂号）、医保结算、缴费支付、参保信息查询、健康档案查询等方便快捷的“一站式”服务。</w:t>
      </w:r>
    </w:p>
    <w:p w14:paraId="7A81A9AE">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“诊疗一卡通”平台升级以来，一直受到大众好评，截至2024年累计提供服务</w:t>
      </w:r>
      <w:r>
        <w:rPr>
          <w:rFonts w:ascii="黑体" w:hAnsi="黑体" w:eastAsia="黑体"/>
          <w:color w:val="auto"/>
          <w:highlight w:val="none"/>
        </w:rPr>
        <w:t>6921</w:t>
      </w:r>
      <w:r>
        <w:rPr>
          <w:rFonts w:hint="eastAsia" w:ascii="黑体" w:hAnsi="黑体" w:eastAsia="黑体"/>
          <w:color w:val="auto"/>
          <w:highlight w:val="none"/>
        </w:rPr>
        <w:t>万人次，目前缴费量占社区总量的75%，大幅减少了市民在社区就医过程中的排队缴费时间，大大减轻了社区卫生机构服务窗口的压力。</w:t>
      </w:r>
    </w:p>
    <w:p w14:paraId="034C696B">
      <w:pPr>
        <w:pStyle w:val="14"/>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二、项目实施方式</w:t>
      </w:r>
    </w:p>
    <w:p w14:paraId="7BF1809F">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现社区“诊疗一卡通”平台升级项目合同到期，为保障广大人民群众的公共服务需求，保持社区诊疗便利服务的延续性，需重新引入一家合作银行，</w:t>
      </w:r>
      <w:r>
        <w:rPr>
          <w:rFonts w:hint="eastAsia" w:ascii="黑体" w:hAnsi="黑体" w:eastAsia="黑体"/>
          <w:b/>
          <w:color w:val="auto"/>
          <w:highlight w:val="none"/>
        </w:rPr>
        <w:t>一是</w:t>
      </w:r>
      <w:r>
        <w:rPr>
          <w:rFonts w:hint="eastAsia" w:ascii="黑体" w:hAnsi="黑体" w:eastAsia="黑体"/>
          <w:color w:val="auto"/>
          <w:highlight w:val="none"/>
        </w:rPr>
        <w:t>承接并继续开展社区“诊疗一卡通”平台项目，为平台提供正常运转保障，确保服务不中断、质量不下降，同时对现有社区诊疗一卡通服务平台对接新社区卫生系统进行升级改造，以满足社区卫生系统的最新要求，保障社区诊疗一卡通平台的基本服务能力；</w:t>
      </w:r>
      <w:r>
        <w:rPr>
          <w:rFonts w:hint="eastAsia" w:ascii="黑体" w:hAnsi="黑体" w:eastAsia="黑体"/>
          <w:b/>
          <w:color w:val="auto"/>
          <w:highlight w:val="none"/>
        </w:rPr>
        <w:t>二是</w:t>
      </w:r>
      <w:r>
        <w:rPr>
          <w:rFonts w:hint="eastAsia" w:ascii="黑体" w:hAnsi="黑体" w:eastAsia="黑体"/>
          <w:color w:val="auto"/>
          <w:highlight w:val="none"/>
        </w:rPr>
        <w:t>按照国家关于信息技术应用创新的工作部署，须在2027年前对社区“诊疗一卡通”服务平台、社区“诊疗一卡通”运维和管理服务平台、社区“诊疗一卡通”对账平台等完成信息技术应用创新升级改造，并延续目前布设要求，为市内每个定点社区卫生服务中心提供至少2台，每个定点社区卫生服务站提供至少1台，总数量不低于450台的自助服务终端，按社区实际需求适时调整，以及后续运维保障等服务。</w:t>
      </w:r>
    </w:p>
    <w:p w14:paraId="652BCCD8">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★合作期为自合同签订之日起5年。</w:t>
      </w:r>
    </w:p>
    <w:p w14:paraId="12681561">
      <w:pPr>
        <w:pStyle w:val="14"/>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三、平台正常运转保障服务内容</w:t>
      </w:r>
    </w:p>
    <w:p w14:paraId="377AFF49">
      <w:pPr>
        <w:pStyle w:val="15"/>
        <w:spacing w:line="360" w:lineRule="auto"/>
        <w:rPr>
          <w:rFonts w:ascii="黑体" w:hAnsi="黑体" w:eastAsia="黑体"/>
          <w:color w:val="auto"/>
          <w:highlight w:val="none"/>
        </w:rPr>
      </w:pPr>
      <w:r>
        <w:rPr>
          <w:rFonts w:hint="eastAsia" w:ascii="黑体" w:hAnsi="黑体" w:eastAsia="黑体"/>
          <w:color w:val="auto"/>
          <w:highlight w:val="none"/>
        </w:rPr>
        <w:t>★需要注意的是，投标人须承诺在中标签订合同后，在采购人的协调下，与旧服务银行做好工作交接，能平稳承接社区“诊疗一卡通”平台软硬件等并保证正常运转，同时投标人须承诺在平台完成信息技术应用创新升级改造前，做好诊疗一卡通平台运行服务，确保平台服务不中断、质量不下降。同时对社区诊疗一卡通服务平台对接新社区卫生系统进行升级改造，以满足社区卫生系统的最新要求。</w:t>
      </w:r>
    </w:p>
    <w:p w14:paraId="11F32983">
      <w:pPr>
        <w:pStyle w:val="15"/>
        <w:spacing w:line="360" w:lineRule="auto"/>
        <w:rPr>
          <w:rFonts w:ascii="黑体" w:hAnsi="黑体" w:eastAsia="黑体"/>
          <w:color w:val="auto"/>
          <w:highlight w:val="none"/>
        </w:rPr>
      </w:pPr>
      <w:r>
        <w:rPr>
          <w:rFonts w:hint="eastAsia" w:ascii="黑体" w:hAnsi="黑体" w:eastAsia="黑体"/>
          <w:color w:val="auto"/>
          <w:highlight w:val="none"/>
        </w:rPr>
        <w:t>（一）软件部分。</w:t>
      </w:r>
    </w:p>
    <w:p w14:paraId="72FA37F1">
      <w:pPr>
        <w:pStyle w:val="15"/>
        <w:spacing w:line="360" w:lineRule="auto"/>
        <w:rPr>
          <w:rFonts w:ascii="黑体" w:hAnsi="黑体" w:eastAsia="黑体"/>
          <w:color w:val="auto"/>
          <w:highlight w:val="none"/>
        </w:rPr>
      </w:pPr>
      <w:r>
        <w:rPr>
          <w:rFonts w:hint="eastAsia" w:ascii="黑体" w:hAnsi="黑体" w:eastAsia="黑体"/>
          <w:color w:val="auto"/>
          <w:highlight w:val="none"/>
        </w:rPr>
        <w:t>1、由采购人提供能保障目前社区“诊疗一卡通”平台正常运转的相关系统给中标人使用，中标人为该系统提供运行保障服务，系统模块包括但不限于：</w:t>
      </w:r>
    </w:p>
    <w:p w14:paraId="38F01783">
      <w:pPr>
        <w:pStyle w:val="15"/>
        <w:spacing w:line="360" w:lineRule="auto"/>
        <w:rPr>
          <w:rFonts w:ascii="黑体" w:hAnsi="黑体" w:eastAsia="黑体"/>
          <w:color w:val="auto"/>
          <w:highlight w:val="none"/>
        </w:rPr>
      </w:pPr>
      <w:r>
        <w:rPr>
          <w:rFonts w:hint="eastAsia" w:ascii="黑体" w:hAnsi="黑体" w:eastAsia="黑体"/>
          <w:color w:val="auto"/>
          <w:highlight w:val="none"/>
        </w:rPr>
        <w:t>社保社区诊疗一卡通服务平台、社区诊疗一卡通运维和管理服务平台、社区诊疗一卡通结算和对账平台。</w:t>
      </w:r>
    </w:p>
    <w:p w14:paraId="22AEE968">
      <w:pPr>
        <w:pStyle w:val="15"/>
        <w:spacing w:line="360" w:lineRule="auto"/>
        <w:outlineLvl w:val="2"/>
        <w:rPr>
          <w:rFonts w:ascii="黑体" w:hAnsi="黑体" w:eastAsia="黑体"/>
          <w:color w:val="auto"/>
          <w:highlight w:val="none"/>
        </w:rPr>
      </w:pPr>
      <w:bookmarkStart w:id="0" w:name="OLE_LINK2"/>
      <w:r>
        <w:rPr>
          <w:rFonts w:hint="eastAsia" w:ascii="黑体" w:hAnsi="黑体" w:eastAsia="黑体"/>
          <w:color w:val="auto"/>
          <w:highlight w:val="none"/>
        </w:rPr>
        <w:t>2、</w:t>
      </w:r>
      <w:bookmarkStart w:id="1" w:name="OLE_LINK11"/>
      <w:r>
        <w:rPr>
          <w:rFonts w:hint="eastAsia" w:ascii="黑体" w:hAnsi="黑体" w:eastAsia="黑体"/>
          <w:color w:val="auto"/>
          <w:highlight w:val="none"/>
        </w:rPr>
        <w:t>社区诊疗</w:t>
      </w:r>
      <w:bookmarkEnd w:id="1"/>
      <w:r>
        <w:rPr>
          <w:rFonts w:hint="eastAsia" w:ascii="黑体" w:hAnsi="黑体" w:eastAsia="黑体"/>
          <w:color w:val="auto"/>
          <w:highlight w:val="none"/>
        </w:rPr>
        <w:t>一卡通服务平台对接新社区卫生系统升级改造</w:t>
      </w:r>
    </w:p>
    <w:p w14:paraId="625686C8">
      <w:pPr>
        <w:pStyle w:val="14"/>
        <w:tabs>
          <w:tab w:val="left" w:pos="426"/>
        </w:tabs>
        <w:spacing w:line="360" w:lineRule="auto"/>
        <w:ind w:firstLineChars="0"/>
        <w:rPr>
          <w:rFonts w:ascii="黑体" w:hAnsi="黑体" w:eastAsia="黑体"/>
          <w:color w:val="auto"/>
          <w:highlight w:val="none"/>
        </w:rPr>
      </w:pPr>
      <w:bookmarkStart w:id="2" w:name="OLE_LINK1"/>
      <w:r>
        <w:rPr>
          <w:rFonts w:hint="eastAsia" w:ascii="黑体" w:hAnsi="黑体" w:eastAsia="黑体"/>
          <w:color w:val="auto"/>
          <w:highlight w:val="none"/>
        </w:rPr>
        <w:t>2.1改造目标</w:t>
      </w:r>
    </w:p>
    <w:p w14:paraId="556CAE6D">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color w:val="auto"/>
          <w:highlight w:val="none"/>
        </w:rPr>
        <w:t>投标人需按照采购人要求，须对现有社区诊疗一卡通服务平台对接新社区卫生系统进行升级改造，保障现有社区诊疗一卡通平台正常运转</w:t>
      </w:r>
      <w:r>
        <w:rPr>
          <w:rFonts w:ascii="黑体" w:hAnsi="黑体" w:eastAsia="黑体"/>
          <w:color w:val="auto"/>
          <w:szCs w:val="21"/>
          <w:highlight w:val="none"/>
        </w:rPr>
        <w:t>。</w:t>
      </w:r>
    </w:p>
    <w:p w14:paraId="11352D5E">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2.2改造内容。以下内容为大体需求，实际实施需求可能有偏差，最终以实施用户需求书为准。</w:t>
      </w:r>
    </w:p>
    <w:p w14:paraId="1BBFBB7C">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根据社区卫生系统（简称HIS）新服务接口，将现有的社区诊疗一卡通服务平台对接新的社区卫生系统实现</w:t>
      </w:r>
      <w:r>
        <w:rPr>
          <w:rFonts w:hint="eastAsia" w:ascii="黑体" w:hAnsi="黑体" w:eastAsia="黑体"/>
          <w:color w:val="auto"/>
          <w:highlight w:val="none"/>
        </w:rPr>
        <w:t>身份识别、</w:t>
      </w:r>
      <w:r>
        <w:rPr>
          <w:rFonts w:ascii="黑体" w:hAnsi="黑体" w:eastAsia="黑体"/>
          <w:color w:val="auto"/>
          <w:highlight w:val="none"/>
        </w:rPr>
        <w:t>自助</w:t>
      </w:r>
      <w:r>
        <w:rPr>
          <w:rFonts w:ascii="黑体" w:hAnsi="黑体" w:eastAsia="黑体"/>
          <w:color w:val="auto"/>
          <w:szCs w:val="21"/>
          <w:highlight w:val="none"/>
        </w:rPr>
        <w:t>挂号、自助签到、自助缴费、医保结算、自助查询、就医服务提示、联动打印药房药袋等功能</w:t>
      </w:r>
      <w:r>
        <w:rPr>
          <w:rFonts w:hint="eastAsia" w:ascii="黑体" w:hAnsi="黑体" w:eastAsia="黑体" w:cs="黑体"/>
          <w:color w:val="auto"/>
          <w:szCs w:val="21"/>
          <w:highlight w:val="none"/>
        </w:rPr>
        <w:t>。具体需求</w:t>
      </w:r>
      <w:r>
        <w:rPr>
          <w:rFonts w:hint="eastAsia" w:ascii="黑体" w:hAnsi="黑体" w:eastAsia="黑体"/>
          <w:color w:val="auto"/>
          <w:szCs w:val="21"/>
          <w:highlight w:val="none"/>
        </w:rPr>
        <w:t>如下：</w:t>
      </w:r>
    </w:p>
    <w:bookmarkEnd w:id="0"/>
    <w:bookmarkEnd w:id="2"/>
    <w:p w14:paraId="7E351129">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（1）自助挂号</w:t>
      </w:r>
    </w:p>
    <w:p w14:paraId="22E4B6AF">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对接挂号接口，查询接口排班情况，获取号源，进行挂号和预支付。支持自费挂号、医保挂号。</w:t>
      </w:r>
    </w:p>
    <w:p w14:paraId="33DE998E">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（2）预约取号</w:t>
      </w:r>
    </w:p>
    <w:p w14:paraId="6B6EADC3">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对接预约取号接口，查询线上预约挂号情况，判断用户是否有预约，取号并预支付。</w:t>
      </w:r>
    </w:p>
    <w:p w14:paraId="2BB4C2A9">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（3）门诊缴费（自费）</w:t>
      </w:r>
    </w:p>
    <w:p w14:paraId="292D06D1">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bCs/>
          <w:color w:val="auto"/>
          <w:szCs w:val="21"/>
          <w:highlight w:val="none"/>
        </w:rPr>
        <w:t>对接门诊缴费接口，查询门诊费用明细，以供用户核对</w:t>
      </w:r>
      <w:r>
        <w:rPr>
          <w:rFonts w:hint="eastAsia" w:ascii="黑体" w:hAnsi="黑体" w:eastAsia="黑体" w:cs="黑体"/>
          <w:color w:val="auto"/>
          <w:szCs w:val="21"/>
          <w:highlight w:val="none"/>
        </w:rPr>
        <w:t>，核对后对门诊费用预结算，提供支付方式给群众选择，最后完成门诊费用结算。</w:t>
      </w:r>
    </w:p>
    <w:p w14:paraId="1F7161D7">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（4）门诊缴费（医保）</w:t>
      </w:r>
    </w:p>
    <w:p w14:paraId="6080717B">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bCs/>
          <w:color w:val="auto"/>
          <w:szCs w:val="21"/>
          <w:highlight w:val="none"/>
        </w:rPr>
        <w:t>对接门诊缴费接口，查询门诊费用明细，以供用户核对</w:t>
      </w:r>
      <w:r>
        <w:rPr>
          <w:rFonts w:hint="eastAsia" w:ascii="黑体" w:hAnsi="黑体" w:eastAsia="黑体" w:cs="黑体"/>
          <w:color w:val="auto"/>
          <w:szCs w:val="21"/>
          <w:highlight w:val="none"/>
        </w:rPr>
        <w:t>，核对后调用医保结算后台服务，并对门诊费用预结算，提供支付方式给群众选择，最后完成门诊医保和个人费用结算。</w:t>
      </w:r>
    </w:p>
    <w:p w14:paraId="61FB67A1">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（5）自助查询</w:t>
      </w:r>
    </w:p>
    <w:p w14:paraId="7D143113">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对接新HIS，在自助查询功能模块中支持家庭医生签约信息查询。</w:t>
      </w:r>
    </w:p>
    <w:p w14:paraId="490A0A13">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（6）其他服务</w:t>
      </w:r>
    </w:p>
    <w:p w14:paraId="37F84F2B">
      <w:pPr>
        <w:pStyle w:val="14"/>
        <w:tabs>
          <w:tab w:val="left" w:pos="426"/>
        </w:tabs>
        <w:spacing w:line="360" w:lineRule="auto"/>
        <w:rPr>
          <w:rFonts w:ascii="黑体" w:hAnsi="黑体" w:eastAsia="黑体"/>
          <w:color w:val="auto"/>
          <w:highlight w:val="none"/>
        </w:rPr>
      </w:pPr>
      <w:r>
        <w:rPr>
          <w:rFonts w:hint="eastAsia" w:ascii="黑体" w:hAnsi="黑体" w:eastAsia="黑体" w:cs="黑体"/>
          <w:color w:val="auto"/>
          <w:szCs w:val="21"/>
          <w:highlight w:val="none"/>
        </w:rPr>
        <w:t>根据HIS的动态变化，按需求方提供必要优化服务。</w:t>
      </w:r>
    </w:p>
    <w:p w14:paraId="60A1F094">
      <w:pPr>
        <w:pStyle w:val="15"/>
        <w:spacing w:line="360" w:lineRule="auto"/>
        <w:rPr>
          <w:rFonts w:ascii="黑体" w:hAnsi="黑体" w:eastAsia="黑体"/>
          <w:color w:val="auto"/>
          <w:highlight w:val="none"/>
        </w:rPr>
      </w:pPr>
      <w:r>
        <w:rPr>
          <w:rFonts w:hint="eastAsia" w:ascii="黑体" w:hAnsi="黑体" w:eastAsia="黑体"/>
          <w:color w:val="auto"/>
          <w:highlight w:val="none"/>
        </w:rPr>
        <w:t>（二）硬件部分。中标人须提供保障目前社区“诊疗一卡通”平台正常运转的硬件设备，设备基本要求：</w:t>
      </w:r>
    </w:p>
    <w:p w14:paraId="53785F46">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1、终端设备需满足规范性文件要求</w:t>
      </w:r>
    </w:p>
    <w:p w14:paraId="0C7E2FC2">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终端需要满足下列文件的标准要求：</w:t>
      </w:r>
    </w:p>
    <w:p w14:paraId="3AD41AB1">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（1）GB/T 23647-2009自助服务终端通用规范</w:t>
      </w:r>
    </w:p>
    <w:p w14:paraId="155738FF">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（2）</w:t>
      </w:r>
      <w:r>
        <w:rPr>
          <w:rFonts w:ascii="黑体" w:hAnsi="黑体" w:eastAsia="黑体"/>
          <w:bCs/>
          <w:color w:val="auto"/>
          <w:szCs w:val="21"/>
          <w:highlight w:val="none"/>
        </w:rPr>
        <w:t>人力资源保障管理信息系统信息结构通则（试行）人社信息函〔2010〕55号</w:t>
      </w:r>
    </w:p>
    <w:p w14:paraId="58666B5E">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（3）</w:t>
      </w:r>
      <w:r>
        <w:rPr>
          <w:rFonts w:ascii="黑体" w:hAnsi="黑体" w:eastAsia="黑体"/>
          <w:bCs/>
          <w:color w:val="auto"/>
          <w:szCs w:val="21"/>
          <w:highlight w:val="none"/>
        </w:rPr>
        <w:t>《社会保障卡加载金融功能通用规范》</w:t>
      </w:r>
    </w:p>
    <w:p w14:paraId="105DAC79">
      <w:pPr>
        <w:pStyle w:val="14"/>
        <w:tabs>
          <w:tab w:val="left" w:pos="426"/>
        </w:tabs>
        <w:spacing w:line="360" w:lineRule="auto"/>
        <w:ind w:left="105" w:leftChars="50" w:firstLine="315" w:firstLineChars="150"/>
        <w:rPr>
          <w:rFonts w:ascii="黑体" w:hAnsi="黑体" w:eastAsia="黑体"/>
          <w:color w:val="auto"/>
          <w:highlight w:val="none"/>
        </w:rPr>
      </w:pPr>
      <w:r>
        <w:rPr>
          <w:rFonts w:hint="eastAsia" w:ascii="黑体" w:hAnsi="黑体" w:eastAsia="黑体"/>
          <w:bCs/>
          <w:color w:val="auto"/>
          <w:szCs w:val="21"/>
          <w:highlight w:val="none"/>
        </w:rPr>
        <w:t>（4）</w:t>
      </w:r>
      <w:r>
        <w:rPr>
          <w:rFonts w:ascii="黑体" w:hAnsi="黑体" w:eastAsia="黑体"/>
          <w:bCs/>
          <w:color w:val="auto"/>
          <w:szCs w:val="21"/>
          <w:highlight w:val="none"/>
        </w:rPr>
        <w:t>《社会保障卡加载金融功能全业务终端规范》</w:t>
      </w:r>
    </w:p>
    <w:p w14:paraId="4C7F8A8A">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★2、投入规模要求。为保证项目的实施效果，投标人需承诺以下内容</w:t>
      </w:r>
      <w:r>
        <w:rPr>
          <w:rFonts w:hint="eastAsia" w:ascii="黑体" w:hAnsi="黑体" w:eastAsia="黑体"/>
          <w:b/>
          <w:bCs/>
          <w:color w:val="auto"/>
          <w:highlight w:val="none"/>
          <w:u w:val="single"/>
        </w:rPr>
        <w:t>（须提供书面服务承诺函加盖投标人公章）</w:t>
      </w:r>
      <w:r>
        <w:rPr>
          <w:rFonts w:hint="eastAsia" w:ascii="黑体" w:hAnsi="黑体" w:eastAsia="黑体"/>
          <w:color w:val="auto"/>
          <w:highlight w:val="none"/>
        </w:rPr>
        <w:t>：</w:t>
      </w:r>
      <w:r>
        <w:rPr>
          <w:rFonts w:ascii="黑体" w:hAnsi="黑体" w:eastAsia="黑体"/>
          <w:color w:val="auto"/>
          <w:highlight w:val="none"/>
        </w:rPr>
        <w:t xml:space="preserve"> </w:t>
      </w:r>
    </w:p>
    <w:p w14:paraId="233F254F">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（1）根据上级部门对终端设备的要求，投标人提供的设备需要满足规范性文件的要求。现行的规范性文件包括《自助服务终端通用规范（GB/T 23647-2009）》、《</w:t>
      </w:r>
      <w:r>
        <w:rPr>
          <w:rFonts w:hint="eastAsia" w:ascii="黑体" w:hAnsi="黑体" w:eastAsia="黑体"/>
          <w:bCs/>
          <w:color w:val="auto"/>
          <w:szCs w:val="21"/>
          <w:highlight w:val="none"/>
        </w:rPr>
        <w:t>人力资源社会保障管理信息系统信息结构通则</w:t>
      </w:r>
      <w:r>
        <w:rPr>
          <w:rFonts w:ascii="黑体" w:hAnsi="黑体" w:eastAsia="黑体"/>
          <w:bCs/>
          <w:color w:val="auto"/>
          <w:szCs w:val="21"/>
          <w:highlight w:val="none"/>
        </w:rPr>
        <w:t>（试行）</w:t>
      </w:r>
      <w:r>
        <w:rPr>
          <w:rFonts w:hint="eastAsia" w:ascii="黑体" w:hAnsi="黑体" w:eastAsia="黑体"/>
          <w:bCs/>
          <w:color w:val="auto"/>
          <w:szCs w:val="21"/>
          <w:highlight w:val="none"/>
        </w:rPr>
        <w:t>（</w:t>
      </w:r>
      <w:r>
        <w:rPr>
          <w:rFonts w:ascii="黑体" w:hAnsi="黑体" w:eastAsia="黑体"/>
          <w:bCs/>
          <w:color w:val="auto"/>
          <w:szCs w:val="21"/>
          <w:highlight w:val="none"/>
        </w:rPr>
        <w:t>人社信息函〔2010〕55号</w:t>
      </w:r>
      <w:r>
        <w:rPr>
          <w:rFonts w:hint="eastAsia" w:ascii="黑体" w:hAnsi="黑体" w:eastAsia="黑体"/>
          <w:bCs/>
          <w:color w:val="auto"/>
          <w:szCs w:val="21"/>
          <w:highlight w:val="none"/>
        </w:rPr>
        <w:t>）》、</w:t>
      </w:r>
      <w:r>
        <w:rPr>
          <w:rFonts w:ascii="黑体" w:hAnsi="黑体" w:eastAsia="黑体"/>
          <w:bCs/>
          <w:color w:val="auto"/>
          <w:szCs w:val="21"/>
          <w:highlight w:val="none"/>
        </w:rPr>
        <w:t>《社会保障卡加载金融功能通用规范</w:t>
      </w:r>
      <w:r>
        <w:rPr>
          <w:rFonts w:hint="eastAsia" w:ascii="黑体" w:hAnsi="黑体" w:eastAsia="黑体"/>
          <w:bCs/>
          <w:color w:val="auto"/>
          <w:szCs w:val="21"/>
          <w:highlight w:val="none"/>
        </w:rPr>
        <w:t>》</w:t>
      </w:r>
      <w:r>
        <w:rPr>
          <w:rFonts w:hint="eastAsia" w:ascii="黑体" w:hAnsi="黑体" w:eastAsia="黑体"/>
          <w:color w:val="auto"/>
          <w:highlight w:val="none"/>
        </w:rPr>
        <w:t>。</w:t>
      </w:r>
    </w:p>
    <w:p w14:paraId="67F05A08">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（2）为保证项目的实施效果，采购人需为东莞市内每个定点社区卫生服务中心提供至少二台、每个定点社区卫生服务站提供至少一台诊疗一卡通自助终端，总数量不低于450台，数量按社区实际需求适时调整。</w:t>
      </w:r>
    </w:p>
    <w:p w14:paraId="6B627E44">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3、终端外型和应用功能要求</w:t>
      </w:r>
    </w:p>
    <w:p w14:paraId="0EF75CFE">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具备防火、防盗、防尘、防淋、防震、防爆等要求，保证人身安全；装载社保卡自助终端的框架和机柜应有一定的刚度和强度，以防止由于空间变动、部件变松或移位造成的终端内零部件全部或部分损坏，并应防止和减少部件发生电击和人身伤害的可能性；终端配置的密封装置及门锁应耐久、安全、可靠，对异常情况有报警及日志记录功能。可实现本机定时开关机及远程控制开关机；可实现非法开门报警功能，用整机电控门禁程序进行控制，实现无钥匙管理。可实现整机监控功能，定期对设备硬件进行扫描及自检；可实现人脸识别及刷脸付功能。满足功能配置灵活、操作流程简便实用、应用和部署范围逐步扩展的实际需要，实现有效控制整体建设和运行成本。按照“标准化、开放性、可扩展、易操作、灵活性”的原则设计，即依据总体设计要求，遵循统一技术标准和数据接口规范，在已实现业务系统上，通过开放相关业务应用功能提供自助服务。</w:t>
      </w:r>
    </w:p>
    <w:p w14:paraId="61554F78">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bCs/>
          <w:color w:val="auto"/>
          <w:szCs w:val="21"/>
          <w:highlight w:val="none"/>
        </w:rPr>
        <w:t>（1）标准化原则：确保界面交互的标准化和数据接口的规范化，提高交互效率。</w:t>
      </w:r>
    </w:p>
    <w:p w14:paraId="2B7384A0">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（2）开放性原则：通过数据的开放提供业务应用服务，并支持第三方服务的接入。</w:t>
      </w:r>
    </w:p>
    <w:p w14:paraId="136A5C86">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（3）可扩展性原则：满足可扩展性原则，支持社保服务和银行金融服务的无缝集成。</w:t>
      </w:r>
    </w:p>
    <w:p w14:paraId="11A61918">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（4）易用性原则：结合触摸屏和系统提供的输入软件，支持手写输入、键盘输入，可方便采集所需信息。</w:t>
      </w:r>
    </w:p>
    <w:p w14:paraId="513A3132">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（5）可靠性原则：自助终端、读卡器、摄像头、经人民银行认证通过的密码输入键盘于一体，可在有效保证用户隐私安全的前提下正确识别用户身份。</w:t>
      </w:r>
    </w:p>
    <w:p w14:paraId="173557CD">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（6）灵活性原则：通过应用服务实现对自助服务事项的灵活配置管理。</w:t>
      </w:r>
    </w:p>
    <w:p w14:paraId="4E251A69">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4、终端模块需求</w:t>
      </w:r>
    </w:p>
    <w:p w14:paraId="2769DF85">
      <w:pPr>
        <w:tabs>
          <w:tab w:val="left" w:pos="426"/>
        </w:tabs>
        <w:spacing w:line="360" w:lineRule="auto"/>
        <w:ind w:firstLine="420" w:firstLineChars="200"/>
        <w:rPr>
          <w:rFonts w:ascii="黑体" w:hAnsi="黑体" w:eastAsia="黑体"/>
          <w:bCs/>
          <w:color w:val="auto"/>
          <w:szCs w:val="21"/>
          <w:highlight w:val="none"/>
        </w:rPr>
      </w:pPr>
      <w:r>
        <w:rPr>
          <w:rFonts w:ascii="黑体" w:hAnsi="黑体" w:eastAsia="黑体"/>
          <w:bCs/>
          <w:color w:val="auto"/>
          <w:szCs w:val="21"/>
          <w:highlight w:val="none"/>
        </w:rPr>
        <w:t>社区诊疗一卡通终端的必备模块：显示模块、电源模块、通讯模块、卡处理模块、客户输入模块、数据安全模块（包括硬件加密模块）等。社区诊疗一卡通终端也可以根据需要配置其他模块，如：二维码扫描仪、条码阅读机、音响模块等。</w:t>
      </w:r>
    </w:p>
    <w:p w14:paraId="384E4F8D">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5、终端配置指标</w:t>
      </w:r>
    </w:p>
    <w:p w14:paraId="4B53141A">
      <w:pPr>
        <w:pStyle w:val="15"/>
        <w:spacing w:line="360" w:lineRule="auto"/>
        <w:ind w:firstLine="411" w:firstLineChars="196"/>
        <w:rPr>
          <w:rFonts w:ascii="黑体" w:hAnsi="黑体" w:eastAsia="黑体"/>
          <w:color w:val="auto"/>
          <w:highlight w:val="none"/>
        </w:rPr>
      </w:pPr>
      <w:r>
        <w:rPr>
          <w:rFonts w:hint="eastAsia" w:ascii="黑体" w:hAnsi="黑体" w:eastAsia="黑体"/>
          <w:color w:val="auto"/>
          <w:highlight w:val="none"/>
        </w:rPr>
        <w:t>为保障现有平台正常运转，在对现有社区诊疗一卡通服务平台、社区诊疗一卡通运维和管理服务平台、社区诊疗一卡通支付和对账平台做信息技术应用创新升级之前，终端配置应至少满足或优于以下要求：</w:t>
      </w:r>
    </w:p>
    <w:p w14:paraId="1B97855B">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（1）社区诊疗一卡通终端（壁挂式）配置最低指标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6260"/>
      </w:tblGrid>
      <w:tr w14:paraId="595E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1327" w:type="pct"/>
            <w:vAlign w:val="center"/>
          </w:tcPr>
          <w:p w14:paraId="3427D2A7">
            <w:pPr>
              <w:spacing w:line="360" w:lineRule="auto"/>
              <w:jc w:val="center"/>
              <w:rPr>
                <w:rFonts w:ascii="黑体" w:hAnsi="黑体" w:eastAsia="黑体"/>
                <w:color w:val="auto"/>
                <w:szCs w:val="21"/>
                <w:highlight w:val="none"/>
              </w:rPr>
            </w:pPr>
            <w:r>
              <w:rPr>
                <w:rFonts w:hint="eastAsia" w:ascii="黑体" w:hAnsi="黑体" w:eastAsia="黑体"/>
                <w:color w:val="auto"/>
                <w:szCs w:val="21"/>
                <w:highlight w:val="none"/>
              </w:rPr>
              <w:t>项  目</w:t>
            </w:r>
          </w:p>
        </w:tc>
        <w:tc>
          <w:tcPr>
            <w:tcW w:w="3673" w:type="pct"/>
            <w:vAlign w:val="center"/>
          </w:tcPr>
          <w:p w14:paraId="6D2FA6FB">
            <w:pPr>
              <w:spacing w:line="360" w:lineRule="auto"/>
              <w:jc w:val="center"/>
              <w:rPr>
                <w:rFonts w:ascii="黑体" w:hAnsi="黑体" w:eastAsia="黑体"/>
                <w:color w:val="auto"/>
                <w:szCs w:val="21"/>
                <w:highlight w:val="none"/>
              </w:rPr>
            </w:pPr>
            <w:r>
              <w:rPr>
                <w:rFonts w:hint="eastAsia" w:ascii="黑体" w:hAnsi="黑体" w:eastAsia="黑体"/>
                <w:color w:val="auto"/>
                <w:szCs w:val="21"/>
                <w:highlight w:val="none"/>
              </w:rPr>
              <w:t>参数</w:t>
            </w:r>
          </w:p>
        </w:tc>
      </w:tr>
      <w:tr w14:paraId="6C7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27" w:type="pct"/>
            <w:vAlign w:val="center"/>
          </w:tcPr>
          <w:p w14:paraId="06031AA7">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屏幕</w:t>
            </w:r>
          </w:p>
        </w:tc>
        <w:tc>
          <w:tcPr>
            <w:tcW w:w="3673" w:type="pct"/>
            <w:vAlign w:val="center"/>
          </w:tcPr>
          <w:p w14:paraId="5EB1BE7D">
            <w:pPr>
              <w:spacing w:line="360" w:lineRule="auto"/>
              <w:rPr>
                <w:rFonts w:ascii="黑体" w:hAnsi="黑体" w:eastAsia="黑体"/>
                <w:color w:val="auto"/>
                <w:szCs w:val="21"/>
                <w:highlight w:val="none"/>
              </w:rPr>
            </w:pPr>
            <w:r>
              <w:rPr>
                <w:rFonts w:hint="eastAsia" w:ascii="黑体" w:hAnsi="黑体" w:eastAsia="黑体"/>
                <w:color w:val="auto"/>
                <w:szCs w:val="21"/>
                <w:highlight w:val="none"/>
              </w:rPr>
              <w:t>15.6</w:t>
            </w:r>
            <w:r>
              <w:rPr>
                <w:rFonts w:ascii="黑体" w:hAnsi="黑体" w:eastAsia="黑体"/>
                <w:color w:val="auto"/>
                <w:szCs w:val="21"/>
                <w:highlight w:val="none"/>
              </w:rPr>
              <w:t>寸</w:t>
            </w:r>
            <w:r>
              <w:rPr>
                <w:rFonts w:hint="eastAsia" w:ascii="黑体" w:hAnsi="黑体" w:eastAsia="黑体"/>
                <w:color w:val="auto"/>
                <w:szCs w:val="21"/>
                <w:highlight w:val="none"/>
              </w:rPr>
              <w:t>或</w:t>
            </w:r>
            <w:r>
              <w:rPr>
                <w:rFonts w:ascii="黑体" w:hAnsi="黑体" w:eastAsia="黑体"/>
                <w:color w:val="auto"/>
                <w:szCs w:val="21"/>
                <w:highlight w:val="none"/>
              </w:rPr>
              <w:t>以上</w:t>
            </w:r>
            <w:r>
              <w:rPr>
                <w:rFonts w:hint="eastAsia" w:ascii="黑体" w:hAnsi="黑体" w:eastAsia="黑体"/>
                <w:color w:val="auto"/>
                <w:szCs w:val="21"/>
                <w:highlight w:val="none"/>
              </w:rPr>
              <w:t>，</w:t>
            </w:r>
            <w:r>
              <w:rPr>
                <w:rFonts w:ascii="黑体" w:hAnsi="黑体" w:eastAsia="黑体"/>
                <w:color w:val="auto"/>
                <w:szCs w:val="21"/>
                <w:highlight w:val="none"/>
              </w:rPr>
              <w:t>1920×1080以上分辨率液晶触摸屏，支持多点触摸</w:t>
            </w:r>
            <w:r>
              <w:rPr>
                <w:rFonts w:hint="eastAsia" w:ascii="黑体" w:hAnsi="黑体" w:eastAsia="黑体"/>
                <w:color w:val="auto"/>
                <w:szCs w:val="21"/>
                <w:highlight w:val="none"/>
              </w:rPr>
              <w:t>。</w:t>
            </w:r>
          </w:p>
        </w:tc>
      </w:tr>
      <w:tr w14:paraId="4D41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327" w:type="pct"/>
            <w:vAlign w:val="center"/>
          </w:tcPr>
          <w:p w14:paraId="7FBEA566">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外观</w:t>
            </w:r>
          </w:p>
        </w:tc>
        <w:tc>
          <w:tcPr>
            <w:tcW w:w="3673" w:type="pct"/>
            <w:vAlign w:val="center"/>
          </w:tcPr>
          <w:p w14:paraId="23A36C43">
            <w:pPr>
              <w:spacing w:line="360" w:lineRule="auto"/>
              <w:rPr>
                <w:rFonts w:ascii="黑体" w:hAnsi="黑体" w:eastAsia="黑体"/>
                <w:color w:val="auto"/>
                <w:szCs w:val="21"/>
                <w:highlight w:val="none"/>
              </w:rPr>
            </w:pPr>
            <w:r>
              <w:rPr>
                <w:rFonts w:ascii="黑体" w:hAnsi="黑体" w:eastAsia="黑体"/>
                <w:color w:val="auto"/>
                <w:szCs w:val="21"/>
                <w:highlight w:val="none"/>
              </w:rPr>
              <w:t>体现</w:t>
            </w:r>
            <w:r>
              <w:rPr>
                <w:rFonts w:hint="eastAsia" w:ascii="黑体" w:hAnsi="黑体" w:eastAsia="黑体"/>
                <w:color w:val="auto"/>
                <w:szCs w:val="21"/>
                <w:highlight w:val="none"/>
              </w:rPr>
              <w:t>东莞市人力资源和社会保障局</w:t>
            </w:r>
            <w:r>
              <w:rPr>
                <w:rFonts w:ascii="黑体" w:hAnsi="黑体" w:eastAsia="黑体"/>
                <w:color w:val="auto"/>
                <w:szCs w:val="21"/>
                <w:highlight w:val="none"/>
              </w:rPr>
              <w:t>LOGO，体现社保卡自助终端的字样或标示，LOGO样式。</w:t>
            </w:r>
          </w:p>
        </w:tc>
      </w:tr>
      <w:tr w14:paraId="50C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7" w:type="pct"/>
            <w:vAlign w:val="center"/>
          </w:tcPr>
          <w:p w14:paraId="766FD16E">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处理器</w:t>
            </w:r>
          </w:p>
        </w:tc>
        <w:tc>
          <w:tcPr>
            <w:tcW w:w="3673" w:type="pct"/>
            <w:vAlign w:val="center"/>
          </w:tcPr>
          <w:p w14:paraId="6817A555">
            <w:pPr>
              <w:spacing w:line="360" w:lineRule="auto"/>
              <w:rPr>
                <w:rFonts w:ascii="黑体" w:hAnsi="黑体" w:eastAsia="黑体"/>
                <w:color w:val="auto"/>
                <w:szCs w:val="21"/>
                <w:highlight w:val="none"/>
              </w:rPr>
            </w:pPr>
            <w:r>
              <w:rPr>
                <w:rFonts w:ascii="黑体" w:hAnsi="黑体" w:eastAsia="黑体"/>
                <w:color w:val="auto"/>
                <w:szCs w:val="21"/>
                <w:highlight w:val="none"/>
              </w:rPr>
              <w:t>四核</w:t>
            </w:r>
            <w:r>
              <w:rPr>
                <w:rFonts w:hint="eastAsia" w:ascii="黑体" w:hAnsi="黑体" w:eastAsia="黑体"/>
                <w:color w:val="auto"/>
                <w:szCs w:val="21"/>
                <w:highlight w:val="none"/>
              </w:rPr>
              <w:t>2.4</w:t>
            </w:r>
            <w:r>
              <w:rPr>
                <w:rFonts w:ascii="黑体" w:hAnsi="黑体" w:eastAsia="黑体"/>
                <w:color w:val="auto"/>
                <w:szCs w:val="21"/>
                <w:highlight w:val="none"/>
              </w:rPr>
              <w:t>G以上主频处理器</w:t>
            </w:r>
            <w:r>
              <w:rPr>
                <w:rFonts w:hint="eastAsia" w:ascii="黑体" w:hAnsi="黑体" w:eastAsia="黑体"/>
                <w:color w:val="auto"/>
                <w:szCs w:val="21"/>
                <w:highlight w:val="none"/>
              </w:rPr>
              <w:t>。</w:t>
            </w:r>
          </w:p>
        </w:tc>
      </w:tr>
      <w:tr w14:paraId="683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7" w:type="pct"/>
            <w:vAlign w:val="center"/>
          </w:tcPr>
          <w:p w14:paraId="1E2F3038">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内存</w:t>
            </w:r>
          </w:p>
        </w:tc>
        <w:tc>
          <w:tcPr>
            <w:tcW w:w="3673" w:type="pct"/>
            <w:vAlign w:val="center"/>
          </w:tcPr>
          <w:p w14:paraId="30B24268">
            <w:pPr>
              <w:spacing w:line="360" w:lineRule="auto"/>
              <w:rPr>
                <w:rFonts w:ascii="黑体" w:hAnsi="黑体" w:eastAsia="黑体"/>
                <w:color w:val="auto"/>
                <w:szCs w:val="21"/>
                <w:highlight w:val="none"/>
              </w:rPr>
            </w:pPr>
            <w:r>
              <w:rPr>
                <w:rFonts w:ascii="黑体" w:hAnsi="黑体" w:eastAsia="黑体"/>
                <w:color w:val="auto"/>
                <w:szCs w:val="21"/>
                <w:highlight w:val="none"/>
              </w:rPr>
              <w:t>≥</w:t>
            </w:r>
            <w:r>
              <w:rPr>
                <w:rFonts w:hint="eastAsia" w:ascii="黑体" w:hAnsi="黑体" w:eastAsia="黑体"/>
                <w:color w:val="auto"/>
                <w:szCs w:val="21"/>
                <w:highlight w:val="none"/>
              </w:rPr>
              <w:t>4</w:t>
            </w:r>
            <w:r>
              <w:rPr>
                <w:rFonts w:ascii="黑体" w:hAnsi="黑体" w:eastAsia="黑体"/>
                <w:color w:val="auto"/>
                <w:szCs w:val="21"/>
                <w:highlight w:val="none"/>
              </w:rPr>
              <w:t>G</w:t>
            </w:r>
            <w:r>
              <w:rPr>
                <w:rFonts w:hint="eastAsia" w:ascii="黑体" w:hAnsi="黑体" w:eastAsia="黑体"/>
                <w:color w:val="auto"/>
                <w:szCs w:val="21"/>
                <w:highlight w:val="none"/>
              </w:rPr>
              <w:t>。</w:t>
            </w:r>
          </w:p>
        </w:tc>
      </w:tr>
      <w:tr w14:paraId="4717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7" w:type="pct"/>
            <w:vAlign w:val="center"/>
          </w:tcPr>
          <w:p w14:paraId="5184CB6D">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存储空间</w:t>
            </w:r>
          </w:p>
        </w:tc>
        <w:tc>
          <w:tcPr>
            <w:tcW w:w="3673" w:type="pct"/>
            <w:vAlign w:val="center"/>
          </w:tcPr>
          <w:p w14:paraId="7584F4EF">
            <w:pPr>
              <w:spacing w:line="360" w:lineRule="auto"/>
              <w:rPr>
                <w:rFonts w:ascii="黑体" w:hAnsi="黑体" w:eastAsia="黑体"/>
                <w:color w:val="auto"/>
                <w:szCs w:val="21"/>
                <w:highlight w:val="none"/>
              </w:rPr>
            </w:pPr>
            <w:r>
              <w:rPr>
                <w:rFonts w:ascii="黑体" w:hAnsi="黑体" w:eastAsia="黑体"/>
                <w:color w:val="auto"/>
                <w:szCs w:val="21"/>
                <w:highlight w:val="none"/>
              </w:rPr>
              <w:t>内部存储空间不小于</w:t>
            </w:r>
            <w:r>
              <w:rPr>
                <w:rFonts w:hint="eastAsia" w:ascii="黑体" w:hAnsi="黑体" w:eastAsia="黑体"/>
                <w:color w:val="auto"/>
                <w:szCs w:val="21"/>
                <w:highlight w:val="none"/>
              </w:rPr>
              <w:t>64</w:t>
            </w:r>
            <w:r>
              <w:rPr>
                <w:rFonts w:ascii="黑体" w:hAnsi="黑体" w:eastAsia="黑体"/>
                <w:color w:val="auto"/>
                <w:szCs w:val="21"/>
                <w:highlight w:val="none"/>
              </w:rPr>
              <w:t>GB</w:t>
            </w:r>
            <w:r>
              <w:rPr>
                <w:rFonts w:hint="eastAsia" w:ascii="黑体" w:hAnsi="黑体" w:eastAsia="黑体"/>
                <w:color w:val="auto"/>
                <w:szCs w:val="21"/>
                <w:highlight w:val="none"/>
              </w:rPr>
              <w:t>。</w:t>
            </w:r>
          </w:p>
        </w:tc>
      </w:tr>
      <w:tr w14:paraId="6675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7" w:type="pct"/>
            <w:vAlign w:val="center"/>
          </w:tcPr>
          <w:p w14:paraId="06668A9D">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网卡</w:t>
            </w:r>
          </w:p>
        </w:tc>
        <w:tc>
          <w:tcPr>
            <w:tcW w:w="3673" w:type="pct"/>
            <w:vAlign w:val="center"/>
          </w:tcPr>
          <w:p w14:paraId="35B6FA2E">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百兆/千兆网卡</w:t>
            </w:r>
            <w:r>
              <w:rPr>
                <w:rFonts w:hint="eastAsia" w:ascii="黑体" w:hAnsi="黑体" w:eastAsia="黑体"/>
                <w:color w:val="auto"/>
                <w:spacing w:val="15"/>
                <w:kern w:val="0"/>
                <w:szCs w:val="21"/>
                <w:highlight w:val="none"/>
              </w:rPr>
              <w:t>。</w:t>
            </w:r>
          </w:p>
        </w:tc>
      </w:tr>
      <w:tr w14:paraId="46C5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7" w:type="pct"/>
            <w:vAlign w:val="center"/>
          </w:tcPr>
          <w:p w14:paraId="225A21B0">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密码键盘</w:t>
            </w:r>
          </w:p>
        </w:tc>
        <w:tc>
          <w:tcPr>
            <w:tcW w:w="3673" w:type="pct"/>
            <w:vAlign w:val="center"/>
          </w:tcPr>
          <w:p w14:paraId="192CB4ED">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10个数字键，6个功能键，支持X按键功能扩展，寿命200万次或以上；按键行程0.45mm或以上；</w:t>
            </w:r>
          </w:p>
          <w:p w14:paraId="4D324F3E">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支持银联加密标准：IBM3624，ISO13491、ISO9564；</w:t>
            </w:r>
          </w:p>
          <w:p w14:paraId="1BD6617E">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可PIN加密，MAC加密，数据加密/解密。</w:t>
            </w:r>
          </w:p>
        </w:tc>
      </w:tr>
      <w:tr w14:paraId="4E8C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7" w:type="pct"/>
            <w:vAlign w:val="center"/>
          </w:tcPr>
          <w:p w14:paraId="291A9A62">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安全组件模块</w:t>
            </w:r>
          </w:p>
        </w:tc>
        <w:tc>
          <w:tcPr>
            <w:tcW w:w="3673" w:type="pct"/>
            <w:vAlign w:val="center"/>
          </w:tcPr>
          <w:p w14:paraId="686A358E">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支持对称加密或非对称加密算法；</w:t>
            </w:r>
          </w:p>
          <w:p w14:paraId="72AA3137">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接口符合国家密码管理局颁布的标准接口。</w:t>
            </w:r>
          </w:p>
        </w:tc>
      </w:tr>
      <w:tr w14:paraId="089B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27" w:type="pct"/>
            <w:vAlign w:val="center"/>
          </w:tcPr>
          <w:p w14:paraId="4420CE40">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读卡器</w:t>
            </w:r>
          </w:p>
        </w:tc>
        <w:tc>
          <w:tcPr>
            <w:tcW w:w="3673" w:type="pct"/>
            <w:vAlign w:val="center"/>
          </w:tcPr>
          <w:p w14:paraId="7CD60937">
            <w:pPr>
              <w:spacing w:line="360" w:lineRule="auto"/>
              <w:rPr>
                <w:rFonts w:ascii="黑体" w:hAnsi="黑体" w:eastAsia="黑体"/>
                <w:color w:val="auto"/>
                <w:szCs w:val="21"/>
                <w:highlight w:val="none"/>
              </w:rPr>
            </w:pPr>
            <w:r>
              <w:rPr>
                <w:rFonts w:ascii="黑体" w:hAnsi="黑体" w:eastAsia="黑体"/>
                <w:color w:val="auto"/>
                <w:szCs w:val="21"/>
                <w:highlight w:val="none"/>
              </w:rPr>
              <w:t>内置社保卡阅读器、二代身份证阅读器（可加选），支持《社会保障卡文件结构和数据项（V1</w:t>
            </w:r>
            <w:r>
              <w:rPr>
                <w:rFonts w:hint="eastAsia" w:ascii="黑体" w:hAnsi="黑体" w:eastAsia="黑体"/>
                <w:color w:val="auto"/>
                <w:szCs w:val="21"/>
                <w:highlight w:val="none"/>
              </w:rPr>
              <w:t>.</w:t>
            </w:r>
            <w:r>
              <w:rPr>
                <w:rFonts w:ascii="黑体" w:hAnsi="黑体" w:eastAsia="黑体"/>
                <w:color w:val="auto"/>
                <w:szCs w:val="21"/>
                <w:highlight w:val="none"/>
              </w:rPr>
              <w:t>0/V2</w:t>
            </w:r>
            <w:r>
              <w:rPr>
                <w:rFonts w:hint="eastAsia" w:ascii="黑体" w:hAnsi="黑体" w:eastAsia="黑体"/>
                <w:color w:val="auto"/>
                <w:szCs w:val="21"/>
                <w:highlight w:val="none"/>
              </w:rPr>
              <w:t>.</w:t>
            </w:r>
            <w:r>
              <w:rPr>
                <w:rFonts w:ascii="黑体" w:hAnsi="黑体" w:eastAsia="黑体"/>
                <w:color w:val="auto"/>
                <w:szCs w:val="21"/>
                <w:highlight w:val="none"/>
              </w:rPr>
              <w:t>0</w:t>
            </w:r>
            <w:r>
              <w:rPr>
                <w:rFonts w:hint="eastAsia" w:ascii="黑体" w:hAnsi="黑体" w:eastAsia="黑体"/>
                <w:color w:val="auto"/>
                <w:szCs w:val="21"/>
                <w:highlight w:val="none"/>
              </w:rPr>
              <w:t>/V3.0</w:t>
            </w:r>
            <w:r>
              <w:rPr>
                <w:rFonts w:ascii="黑体" w:hAnsi="黑体" w:eastAsia="黑体"/>
                <w:color w:val="auto"/>
                <w:szCs w:val="21"/>
                <w:highlight w:val="none"/>
              </w:rPr>
              <w:t>）》的社保卡，支持读写金融IC卡，符合PBOC2</w:t>
            </w:r>
            <w:r>
              <w:rPr>
                <w:rFonts w:hint="eastAsia" w:ascii="黑体" w:hAnsi="黑体" w:eastAsia="黑体"/>
                <w:color w:val="auto"/>
                <w:szCs w:val="21"/>
                <w:highlight w:val="none"/>
              </w:rPr>
              <w:t>.</w:t>
            </w:r>
            <w:r>
              <w:rPr>
                <w:rFonts w:ascii="黑体" w:hAnsi="黑体" w:eastAsia="黑体"/>
                <w:color w:val="auto"/>
                <w:szCs w:val="21"/>
                <w:highlight w:val="none"/>
              </w:rPr>
              <w:t>0、3</w:t>
            </w:r>
            <w:r>
              <w:rPr>
                <w:rFonts w:hint="eastAsia" w:ascii="黑体" w:hAnsi="黑体" w:eastAsia="黑体"/>
                <w:color w:val="auto"/>
                <w:szCs w:val="21"/>
                <w:highlight w:val="none"/>
              </w:rPr>
              <w:t>.</w:t>
            </w:r>
            <w:r>
              <w:rPr>
                <w:rFonts w:ascii="黑体" w:hAnsi="黑体" w:eastAsia="黑体"/>
                <w:color w:val="auto"/>
                <w:szCs w:val="21"/>
                <w:highlight w:val="none"/>
              </w:rPr>
              <w:t>0</w:t>
            </w:r>
            <w:r>
              <w:rPr>
                <w:rFonts w:hint="eastAsia" w:ascii="黑体" w:hAnsi="黑体" w:eastAsia="黑体"/>
                <w:color w:val="auto"/>
                <w:szCs w:val="21"/>
                <w:highlight w:val="none"/>
              </w:rPr>
              <w:t>、2018</w:t>
            </w:r>
            <w:r>
              <w:rPr>
                <w:rFonts w:ascii="黑体" w:hAnsi="黑体" w:eastAsia="黑体"/>
                <w:color w:val="auto"/>
                <w:szCs w:val="21"/>
                <w:highlight w:val="none"/>
              </w:rPr>
              <w:t>相关行业标准。</w:t>
            </w:r>
          </w:p>
        </w:tc>
      </w:tr>
      <w:tr w14:paraId="7FFA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27" w:type="pct"/>
            <w:vAlign w:val="center"/>
          </w:tcPr>
          <w:p w14:paraId="3942D19E">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扩展功能</w:t>
            </w:r>
          </w:p>
        </w:tc>
        <w:tc>
          <w:tcPr>
            <w:tcW w:w="3673" w:type="pct"/>
            <w:vAlign w:val="center"/>
          </w:tcPr>
          <w:p w14:paraId="31D9675F">
            <w:pPr>
              <w:spacing w:line="360" w:lineRule="auto"/>
              <w:rPr>
                <w:rFonts w:ascii="黑体" w:hAnsi="黑体" w:eastAsia="黑体"/>
                <w:color w:val="auto"/>
                <w:szCs w:val="21"/>
                <w:highlight w:val="none"/>
              </w:rPr>
            </w:pPr>
            <w:r>
              <w:rPr>
                <w:rFonts w:ascii="黑体" w:hAnsi="黑体" w:eastAsia="黑体"/>
                <w:color w:val="auto"/>
                <w:szCs w:val="21"/>
                <w:highlight w:val="none"/>
              </w:rPr>
              <w:t>内置PSAM卡槽2个；</w:t>
            </w:r>
          </w:p>
          <w:p w14:paraId="7C2DB50B">
            <w:pPr>
              <w:spacing w:line="360" w:lineRule="auto"/>
              <w:rPr>
                <w:rFonts w:ascii="黑体" w:hAnsi="黑体" w:eastAsia="黑体"/>
                <w:color w:val="auto"/>
                <w:szCs w:val="21"/>
                <w:highlight w:val="none"/>
              </w:rPr>
            </w:pPr>
            <w:r>
              <w:rPr>
                <w:rFonts w:ascii="黑体" w:hAnsi="黑体" w:eastAsia="黑体"/>
                <w:color w:val="auto"/>
                <w:szCs w:val="21"/>
                <w:highlight w:val="none"/>
              </w:rPr>
              <w:t>具有金融功能，可支持非现金交易</w:t>
            </w:r>
            <w:r>
              <w:rPr>
                <w:rFonts w:hint="eastAsia" w:ascii="黑体" w:hAnsi="黑体" w:eastAsia="黑体"/>
                <w:color w:val="auto"/>
                <w:szCs w:val="21"/>
                <w:highlight w:val="none"/>
              </w:rPr>
              <w:t>。</w:t>
            </w:r>
          </w:p>
        </w:tc>
      </w:tr>
      <w:tr w14:paraId="6746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27" w:type="pct"/>
            <w:vAlign w:val="center"/>
          </w:tcPr>
          <w:p w14:paraId="0C095D0B">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接口类型</w:t>
            </w:r>
          </w:p>
        </w:tc>
        <w:tc>
          <w:tcPr>
            <w:tcW w:w="3673" w:type="pct"/>
            <w:vAlign w:val="center"/>
          </w:tcPr>
          <w:p w14:paraId="38CC542C">
            <w:pPr>
              <w:spacing w:line="360" w:lineRule="auto"/>
              <w:rPr>
                <w:rFonts w:ascii="黑体" w:hAnsi="黑体" w:eastAsia="黑体"/>
                <w:color w:val="auto"/>
                <w:szCs w:val="21"/>
                <w:highlight w:val="none"/>
              </w:rPr>
            </w:pPr>
            <w:r>
              <w:rPr>
                <w:rFonts w:ascii="黑体" w:hAnsi="黑体" w:eastAsia="黑体"/>
                <w:color w:val="auto"/>
                <w:szCs w:val="21"/>
                <w:highlight w:val="none"/>
              </w:rPr>
              <w:t>SD、RJ45、USB、RJ11、HDMI</w:t>
            </w:r>
            <w:r>
              <w:rPr>
                <w:rFonts w:hint="eastAsia" w:ascii="黑体" w:hAnsi="黑体" w:eastAsia="黑体"/>
                <w:color w:val="auto"/>
                <w:szCs w:val="21"/>
                <w:highlight w:val="none"/>
              </w:rPr>
              <w:t>。</w:t>
            </w:r>
          </w:p>
        </w:tc>
      </w:tr>
      <w:tr w14:paraId="7DD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27" w:type="pct"/>
            <w:vAlign w:val="center"/>
          </w:tcPr>
          <w:p w14:paraId="485C8485">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网络传输</w:t>
            </w:r>
          </w:p>
        </w:tc>
        <w:tc>
          <w:tcPr>
            <w:tcW w:w="3673" w:type="pct"/>
            <w:vAlign w:val="center"/>
          </w:tcPr>
          <w:p w14:paraId="1F076BF8">
            <w:pPr>
              <w:spacing w:line="360" w:lineRule="auto"/>
              <w:rPr>
                <w:rFonts w:ascii="黑体" w:hAnsi="黑体" w:eastAsia="黑体"/>
                <w:color w:val="auto"/>
                <w:szCs w:val="21"/>
                <w:highlight w:val="none"/>
              </w:rPr>
            </w:pPr>
            <w:r>
              <w:rPr>
                <w:rFonts w:ascii="黑体" w:hAnsi="黑体" w:eastAsia="黑体"/>
                <w:color w:val="auto"/>
                <w:szCs w:val="21"/>
                <w:highlight w:val="none"/>
              </w:rPr>
              <w:t>支持以太网、WIFI、</w:t>
            </w:r>
            <w:r>
              <w:rPr>
                <w:rFonts w:hint="eastAsia" w:ascii="黑体" w:hAnsi="黑体" w:eastAsia="黑体"/>
                <w:color w:val="auto"/>
                <w:szCs w:val="21"/>
                <w:highlight w:val="none"/>
              </w:rPr>
              <w:t>4</w:t>
            </w:r>
            <w:r>
              <w:rPr>
                <w:rFonts w:ascii="黑体" w:hAnsi="黑体" w:eastAsia="黑体"/>
                <w:color w:val="auto"/>
                <w:szCs w:val="21"/>
                <w:highlight w:val="none"/>
              </w:rPr>
              <w:t>G以上、蓝牙等多种数据传输方式</w:t>
            </w:r>
            <w:r>
              <w:rPr>
                <w:rFonts w:hint="eastAsia" w:ascii="黑体" w:hAnsi="黑体" w:eastAsia="黑体"/>
                <w:color w:val="auto"/>
                <w:szCs w:val="21"/>
                <w:highlight w:val="none"/>
              </w:rPr>
              <w:t>。</w:t>
            </w:r>
          </w:p>
        </w:tc>
      </w:tr>
      <w:tr w14:paraId="3614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27" w:type="pct"/>
            <w:vAlign w:val="center"/>
          </w:tcPr>
          <w:p w14:paraId="57A9284C">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工作环境</w:t>
            </w:r>
          </w:p>
        </w:tc>
        <w:tc>
          <w:tcPr>
            <w:tcW w:w="3673" w:type="pct"/>
            <w:vAlign w:val="center"/>
          </w:tcPr>
          <w:p w14:paraId="352C1243">
            <w:pPr>
              <w:spacing w:line="360" w:lineRule="auto"/>
              <w:rPr>
                <w:rFonts w:ascii="黑体" w:hAnsi="黑体" w:eastAsia="黑体"/>
                <w:color w:val="auto"/>
                <w:szCs w:val="21"/>
                <w:highlight w:val="none"/>
              </w:rPr>
            </w:pPr>
            <w:r>
              <w:rPr>
                <w:rFonts w:ascii="黑体" w:hAnsi="黑体" w:eastAsia="黑体"/>
                <w:color w:val="auto"/>
                <w:szCs w:val="21"/>
                <w:highlight w:val="none"/>
              </w:rPr>
              <w:t>温度：0°C～40°C，湿度：20%～80%</w:t>
            </w:r>
            <w:r>
              <w:rPr>
                <w:rFonts w:hint="eastAsia" w:ascii="黑体" w:hAnsi="黑体" w:eastAsia="黑体"/>
                <w:color w:val="auto"/>
                <w:szCs w:val="21"/>
                <w:highlight w:val="none"/>
              </w:rPr>
              <w:t>。</w:t>
            </w:r>
          </w:p>
        </w:tc>
      </w:tr>
      <w:tr w14:paraId="69EE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27" w:type="pct"/>
            <w:vAlign w:val="center"/>
          </w:tcPr>
          <w:p w14:paraId="79354D60">
            <w:pPr>
              <w:spacing w:line="360" w:lineRule="auto"/>
              <w:jc w:val="center"/>
              <w:rPr>
                <w:rFonts w:ascii="黑体" w:hAnsi="黑体" w:eastAsia="黑体"/>
                <w:color w:val="auto"/>
                <w:szCs w:val="21"/>
                <w:highlight w:val="none"/>
              </w:rPr>
            </w:pPr>
            <w:r>
              <w:rPr>
                <w:rFonts w:ascii="黑体" w:hAnsi="黑体" w:eastAsia="黑体"/>
                <w:color w:val="auto"/>
                <w:szCs w:val="21"/>
                <w:highlight w:val="none"/>
              </w:rPr>
              <w:t>安全认证</w:t>
            </w:r>
          </w:p>
        </w:tc>
        <w:tc>
          <w:tcPr>
            <w:tcW w:w="3673" w:type="pct"/>
            <w:vAlign w:val="center"/>
          </w:tcPr>
          <w:p w14:paraId="42190485">
            <w:pPr>
              <w:spacing w:line="360" w:lineRule="auto"/>
              <w:rPr>
                <w:rFonts w:ascii="黑体" w:hAnsi="黑体" w:eastAsia="黑体"/>
                <w:color w:val="auto"/>
                <w:szCs w:val="21"/>
                <w:highlight w:val="none"/>
              </w:rPr>
            </w:pPr>
            <w:r>
              <w:rPr>
                <w:rFonts w:ascii="黑体" w:hAnsi="黑体" w:eastAsia="黑体"/>
                <w:color w:val="auto"/>
                <w:szCs w:val="21"/>
                <w:highlight w:val="none"/>
              </w:rPr>
              <w:t>符合3C认证标准。</w:t>
            </w:r>
          </w:p>
        </w:tc>
      </w:tr>
    </w:tbl>
    <w:p w14:paraId="79CF2FC0">
      <w:pPr>
        <w:pStyle w:val="15"/>
        <w:spacing w:line="360" w:lineRule="auto"/>
        <w:ind w:firstLine="411" w:firstLineChars="196"/>
        <w:rPr>
          <w:rFonts w:ascii="黑体" w:hAnsi="黑体" w:eastAsia="黑体"/>
          <w:color w:val="auto"/>
          <w:highlight w:val="none"/>
        </w:rPr>
      </w:pPr>
    </w:p>
    <w:p w14:paraId="13560A4B">
      <w:pPr>
        <w:pStyle w:val="15"/>
        <w:spacing w:line="360" w:lineRule="auto"/>
        <w:rPr>
          <w:color w:val="auto"/>
          <w:highlight w:val="none"/>
        </w:rPr>
      </w:pPr>
      <w:r>
        <w:rPr>
          <w:rFonts w:hint="eastAsia" w:ascii="黑体" w:hAnsi="黑体" w:eastAsia="黑体"/>
          <w:color w:val="auto"/>
          <w:szCs w:val="21"/>
          <w:highlight w:val="none"/>
        </w:rPr>
        <w:t>（2）社区诊疗一卡通</w:t>
      </w:r>
      <w:r>
        <w:rPr>
          <w:rFonts w:ascii="黑体" w:hAnsi="黑体" w:eastAsia="黑体"/>
          <w:color w:val="auto"/>
          <w:szCs w:val="21"/>
          <w:highlight w:val="none"/>
        </w:rPr>
        <w:t>终端（站立式）配置</w:t>
      </w:r>
      <w:r>
        <w:rPr>
          <w:rFonts w:hint="eastAsia" w:ascii="黑体" w:hAnsi="黑体" w:eastAsia="黑体"/>
          <w:color w:val="auto"/>
          <w:szCs w:val="21"/>
          <w:highlight w:val="none"/>
        </w:rPr>
        <w:t>最低</w:t>
      </w:r>
      <w:r>
        <w:rPr>
          <w:rFonts w:ascii="黑体" w:hAnsi="黑体" w:eastAsia="黑体"/>
          <w:color w:val="auto"/>
          <w:szCs w:val="21"/>
          <w:highlight w:val="none"/>
        </w:rPr>
        <w:t>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3"/>
      </w:tblGrid>
      <w:tr w14:paraId="34E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49" w:type="pct"/>
            <w:vAlign w:val="center"/>
          </w:tcPr>
          <w:p w14:paraId="0C226F90">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项  目</w:t>
            </w:r>
          </w:p>
        </w:tc>
        <w:tc>
          <w:tcPr>
            <w:tcW w:w="3751" w:type="pct"/>
            <w:vAlign w:val="center"/>
          </w:tcPr>
          <w:p w14:paraId="1E513A67">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参数</w:t>
            </w:r>
          </w:p>
        </w:tc>
      </w:tr>
      <w:tr w14:paraId="434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49" w:type="pct"/>
            <w:vAlign w:val="center"/>
          </w:tcPr>
          <w:p w14:paraId="582CC2BA">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机柜</w:t>
            </w:r>
          </w:p>
        </w:tc>
        <w:tc>
          <w:tcPr>
            <w:tcW w:w="3751" w:type="pct"/>
            <w:vAlign w:val="center"/>
          </w:tcPr>
          <w:p w14:paraId="4318CB40">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冷轧钢板金属机柜，适合在公众场合使用，符合政府单位形象要求；</w:t>
            </w:r>
          </w:p>
          <w:p w14:paraId="3EBE572D">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电压：AC220V±10% 50Hz±1Hz</w:t>
            </w:r>
            <w:r>
              <w:rPr>
                <w:rFonts w:hint="eastAsia" w:ascii="黑体" w:hAnsi="黑体" w:eastAsia="黑体"/>
                <w:color w:val="auto"/>
                <w:spacing w:val="15"/>
                <w:kern w:val="0"/>
                <w:szCs w:val="21"/>
                <w:highlight w:val="none"/>
              </w:rPr>
              <w:t>。</w:t>
            </w:r>
          </w:p>
        </w:tc>
      </w:tr>
      <w:tr w14:paraId="5223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49" w:type="pct"/>
            <w:vAlign w:val="center"/>
          </w:tcPr>
          <w:p w14:paraId="124A331F">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屏幕</w:t>
            </w:r>
          </w:p>
        </w:tc>
        <w:tc>
          <w:tcPr>
            <w:tcW w:w="3751" w:type="pct"/>
            <w:vAlign w:val="center"/>
          </w:tcPr>
          <w:p w14:paraId="49C08695">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显示尺寸：19英寸以上；</w:t>
            </w:r>
          </w:p>
          <w:p w14:paraId="13FFC353">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分辨率：1280×1024；</w:t>
            </w:r>
          </w:p>
          <w:p w14:paraId="4497D939">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刷新率：60Hz；</w:t>
            </w:r>
          </w:p>
          <w:p w14:paraId="28EBE90D">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响应时间：5ms</w:t>
            </w:r>
            <w:r>
              <w:rPr>
                <w:rFonts w:hint="eastAsia" w:ascii="黑体" w:hAnsi="黑体" w:eastAsia="黑体"/>
                <w:color w:val="auto"/>
                <w:spacing w:val="15"/>
                <w:kern w:val="0"/>
                <w:szCs w:val="21"/>
                <w:highlight w:val="none"/>
              </w:rPr>
              <w:t>。</w:t>
            </w:r>
          </w:p>
        </w:tc>
      </w:tr>
      <w:tr w14:paraId="61BC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49" w:type="pct"/>
            <w:vAlign w:val="center"/>
          </w:tcPr>
          <w:p w14:paraId="0117A2F2">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外观</w:t>
            </w:r>
          </w:p>
        </w:tc>
        <w:tc>
          <w:tcPr>
            <w:tcW w:w="3751" w:type="pct"/>
            <w:vAlign w:val="center"/>
          </w:tcPr>
          <w:p w14:paraId="41A7F3D8">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体现</w:t>
            </w:r>
            <w:r>
              <w:rPr>
                <w:rFonts w:hint="eastAsia" w:ascii="黑体" w:hAnsi="黑体" w:eastAsia="黑体"/>
                <w:color w:val="auto"/>
                <w:spacing w:val="15"/>
                <w:kern w:val="0"/>
                <w:szCs w:val="21"/>
                <w:highlight w:val="none"/>
              </w:rPr>
              <w:t>东莞市人力资源和社会保障局</w:t>
            </w:r>
            <w:r>
              <w:rPr>
                <w:rFonts w:ascii="黑体" w:hAnsi="黑体" w:eastAsia="黑体"/>
                <w:color w:val="auto"/>
                <w:spacing w:val="15"/>
                <w:kern w:val="0"/>
                <w:szCs w:val="21"/>
                <w:highlight w:val="none"/>
              </w:rPr>
              <w:t>LOGO，体现社保卡自助终端的字样或标示。</w:t>
            </w:r>
          </w:p>
        </w:tc>
      </w:tr>
      <w:tr w14:paraId="2C0E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49" w:type="pct"/>
            <w:vAlign w:val="center"/>
          </w:tcPr>
          <w:p w14:paraId="318F3B60">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处理器</w:t>
            </w:r>
          </w:p>
        </w:tc>
        <w:tc>
          <w:tcPr>
            <w:tcW w:w="3751" w:type="pct"/>
            <w:vAlign w:val="center"/>
          </w:tcPr>
          <w:p w14:paraId="089D53F5">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双核四线程或以上处理器，主频≥2</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8GHz</w:t>
            </w:r>
          </w:p>
        </w:tc>
      </w:tr>
      <w:tr w14:paraId="28F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49" w:type="pct"/>
            <w:vAlign w:val="center"/>
          </w:tcPr>
          <w:p w14:paraId="48E1E2C1">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内存</w:t>
            </w:r>
          </w:p>
        </w:tc>
        <w:tc>
          <w:tcPr>
            <w:tcW w:w="3751" w:type="pct"/>
            <w:vAlign w:val="center"/>
          </w:tcPr>
          <w:p w14:paraId="69F22E46">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≥4G；</w:t>
            </w:r>
          </w:p>
        </w:tc>
      </w:tr>
      <w:tr w14:paraId="502D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49" w:type="pct"/>
            <w:vAlign w:val="center"/>
          </w:tcPr>
          <w:p w14:paraId="6A10821A">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静电防护等级</w:t>
            </w:r>
          </w:p>
        </w:tc>
        <w:tc>
          <w:tcPr>
            <w:tcW w:w="3751" w:type="pct"/>
            <w:vAlign w:val="center"/>
          </w:tcPr>
          <w:p w14:paraId="1F8D1AD7">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Level 4</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符合EN 61000-4-2</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，空气放电+15KV接触放电+8KV</w:t>
            </w:r>
            <w:r>
              <w:rPr>
                <w:rFonts w:hint="eastAsia" w:ascii="黑体" w:hAnsi="黑体" w:eastAsia="黑体"/>
                <w:color w:val="auto"/>
                <w:spacing w:val="15"/>
                <w:kern w:val="0"/>
                <w:szCs w:val="21"/>
                <w:highlight w:val="none"/>
              </w:rPr>
              <w:t>。</w:t>
            </w:r>
          </w:p>
        </w:tc>
      </w:tr>
      <w:tr w14:paraId="300B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49" w:type="pct"/>
            <w:vAlign w:val="center"/>
          </w:tcPr>
          <w:p w14:paraId="5EE05F7D">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存储空间</w:t>
            </w:r>
          </w:p>
        </w:tc>
        <w:tc>
          <w:tcPr>
            <w:tcW w:w="3751" w:type="pct"/>
            <w:vAlign w:val="center"/>
          </w:tcPr>
          <w:p w14:paraId="056F11E7">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机械硬盘不小于500GB或固态硬盘不小于128GB。</w:t>
            </w:r>
          </w:p>
        </w:tc>
      </w:tr>
      <w:tr w14:paraId="3FF5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9" w:type="pct"/>
            <w:vAlign w:val="center"/>
          </w:tcPr>
          <w:p w14:paraId="43907C90">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网卡</w:t>
            </w:r>
          </w:p>
        </w:tc>
        <w:tc>
          <w:tcPr>
            <w:tcW w:w="3751" w:type="pct"/>
            <w:vAlign w:val="center"/>
          </w:tcPr>
          <w:p w14:paraId="57EC72E4">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百兆/千兆网卡</w:t>
            </w:r>
            <w:r>
              <w:rPr>
                <w:rFonts w:hint="eastAsia" w:ascii="黑体" w:hAnsi="黑体" w:eastAsia="黑体"/>
                <w:color w:val="auto"/>
                <w:spacing w:val="15"/>
                <w:kern w:val="0"/>
                <w:szCs w:val="21"/>
                <w:highlight w:val="none"/>
              </w:rPr>
              <w:t>。</w:t>
            </w:r>
          </w:p>
        </w:tc>
      </w:tr>
      <w:tr w14:paraId="4CD8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9" w:type="pct"/>
            <w:vAlign w:val="center"/>
          </w:tcPr>
          <w:p w14:paraId="05A8B6E3">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密码键盘</w:t>
            </w:r>
          </w:p>
        </w:tc>
        <w:tc>
          <w:tcPr>
            <w:tcW w:w="3751" w:type="pct"/>
            <w:vAlign w:val="center"/>
          </w:tcPr>
          <w:p w14:paraId="07C0B590">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10个数字键，6个功能键，支持X按键功能扩展，寿命200万次或以上；按键行程0</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45mm或以上；</w:t>
            </w:r>
          </w:p>
          <w:p w14:paraId="21B98FF0">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支持银联加密标准：IBM3624，ISO13491、ISO9564；</w:t>
            </w:r>
          </w:p>
          <w:p w14:paraId="3817AEC1">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可PIN加密，MAC加密，数据加密/解密。</w:t>
            </w:r>
          </w:p>
        </w:tc>
      </w:tr>
      <w:tr w14:paraId="4C11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49" w:type="pct"/>
            <w:vAlign w:val="center"/>
          </w:tcPr>
          <w:p w14:paraId="557C13E4">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安全组件模块</w:t>
            </w:r>
          </w:p>
        </w:tc>
        <w:tc>
          <w:tcPr>
            <w:tcW w:w="3751" w:type="pct"/>
            <w:vAlign w:val="center"/>
          </w:tcPr>
          <w:p w14:paraId="54F9BDFF">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支持对称加密或非对称加密算法；</w:t>
            </w:r>
          </w:p>
          <w:p w14:paraId="7182DC06">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接口符合国家密码管理局颁布的标准接口。</w:t>
            </w:r>
          </w:p>
        </w:tc>
      </w:tr>
      <w:tr w14:paraId="5E1D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49" w:type="pct"/>
            <w:vAlign w:val="center"/>
          </w:tcPr>
          <w:p w14:paraId="1AA48F0F">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读卡器</w:t>
            </w:r>
          </w:p>
        </w:tc>
        <w:tc>
          <w:tcPr>
            <w:tcW w:w="3751" w:type="pct"/>
            <w:vAlign w:val="center"/>
          </w:tcPr>
          <w:p w14:paraId="6F0D6FF5">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内置社保卡阅读器、二代身份证阅读器（可加选），支持《社会保障卡文件结构和数据项（V1</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0/V2</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0</w:t>
            </w:r>
            <w:r>
              <w:rPr>
                <w:rFonts w:hint="eastAsia" w:ascii="黑体" w:hAnsi="黑体" w:eastAsia="黑体"/>
                <w:color w:val="auto"/>
                <w:spacing w:val="15"/>
                <w:kern w:val="0"/>
                <w:szCs w:val="21"/>
                <w:highlight w:val="none"/>
              </w:rPr>
              <w:t>/V3.0</w:t>
            </w:r>
            <w:r>
              <w:rPr>
                <w:rFonts w:ascii="黑体" w:hAnsi="黑体" w:eastAsia="黑体"/>
                <w:color w:val="auto"/>
                <w:spacing w:val="15"/>
                <w:kern w:val="0"/>
                <w:szCs w:val="21"/>
                <w:highlight w:val="none"/>
              </w:rPr>
              <w:t>）》的社保卡，支持读写金融IC卡，符合PBOC2</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0、3</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0</w:t>
            </w:r>
            <w:r>
              <w:rPr>
                <w:rFonts w:hint="eastAsia" w:ascii="黑体" w:hAnsi="黑体" w:eastAsia="黑体"/>
                <w:color w:val="auto"/>
                <w:spacing w:val="15"/>
                <w:kern w:val="0"/>
                <w:szCs w:val="21"/>
                <w:highlight w:val="none"/>
              </w:rPr>
              <w:t>、2018</w:t>
            </w:r>
            <w:r>
              <w:rPr>
                <w:rFonts w:ascii="黑体" w:hAnsi="黑体" w:eastAsia="黑体"/>
                <w:color w:val="auto"/>
                <w:spacing w:val="15"/>
                <w:kern w:val="0"/>
                <w:szCs w:val="21"/>
                <w:highlight w:val="none"/>
              </w:rPr>
              <w:t>相关行业标准。</w:t>
            </w:r>
          </w:p>
        </w:tc>
      </w:tr>
      <w:tr w14:paraId="1406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49" w:type="pct"/>
            <w:vAlign w:val="center"/>
          </w:tcPr>
          <w:p w14:paraId="78B3974B">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触摸屏</w:t>
            </w:r>
          </w:p>
        </w:tc>
        <w:tc>
          <w:tcPr>
            <w:tcW w:w="3751" w:type="pct"/>
            <w:vAlign w:val="center"/>
          </w:tcPr>
          <w:p w14:paraId="2E2BAFCB">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分辨率：</w:t>
            </w:r>
            <w:r>
              <w:rPr>
                <w:rFonts w:hint="eastAsia" w:ascii="黑体" w:hAnsi="黑体" w:eastAsia="黑体"/>
                <w:color w:val="auto"/>
                <w:spacing w:val="15"/>
                <w:kern w:val="0"/>
                <w:szCs w:val="21"/>
                <w:highlight w:val="none"/>
              </w:rPr>
              <w:t>1280</w:t>
            </w:r>
            <w:r>
              <w:rPr>
                <w:rFonts w:ascii="黑体" w:hAnsi="黑体" w:eastAsia="黑体"/>
                <w:color w:val="auto"/>
                <w:spacing w:val="15"/>
                <w:kern w:val="0"/>
                <w:szCs w:val="21"/>
                <w:highlight w:val="none"/>
              </w:rPr>
              <w:t>×</w:t>
            </w:r>
            <w:r>
              <w:rPr>
                <w:rFonts w:hint="eastAsia" w:ascii="黑体" w:hAnsi="黑体" w:eastAsia="黑体"/>
                <w:color w:val="auto"/>
                <w:spacing w:val="15"/>
                <w:kern w:val="0"/>
                <w:szCs w:val="21"/>
                <w:highlight w:val="none"/>
              </w:rPr>
              <w:t>1024</w:t>
            </w:r>
            <w:r>
              <w:rPr>
                <w:rFonts w:ascii="黑体" w:hAnsi="黑体" w:eastAsia="黑体"/>
                <w:color w:val="auto"/>
                <w:spacing w:val="15"/>
                <w:kern w:val="0"/>
                <w:szCs w:val="21"/>
                <w:highlight w:val="none"/>
              </w:rPr>
              <w:t>；</w:t>
            </w:r>
          </w:p>
          <w:p w14:paraId="2BE0F792">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有效触摸区：305mm×381mm</w:t>
            </w:r>
            <w:r>
              <w:rPr>
                <w:rFonts w:hint="eastAsia" w:ascii="黑体" w:hAnsi="黑体" w:eastAsia="黑体"/>
                <w:color w:val="auto"/>
                <w:spacing w:val="15"/>
                <w:kern w:val="0"/>
                <w:szCs w:val="21"/>
                <w:highlight w:val="none"/>
              </w:rPr>
              <w:t>；</w:t>
            </w:r>
          </w:p>
          <w:p w14:paraId="72EE1B95">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透光率：95％以上；</w:t>
            </w:r>
          </w:p>
          <w:p w14:paraId="21554C77">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触摸精度：2mm；</w:t>
            </w:r>
          </w:p>
          <w:p w14:paraId="727C18F1">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响应时间：低于16ms</w:t>
            </w:r>
            <w:r>
              <w:rPr>
                <w:rFonts w:hint="eastAsia" w:ascii="黑体" w:hAnsi="黑体" w:eastAsia="黑体"/>
                <w:color w:val="auto"/>
                <w:spacing w:val="15"/>
                <w:kern w:val="0"/>
                <w:szCs w:val="21"/>
                <w:highlight w:val="none"/>
              </w:rPr>
              <w:t>。</w:t>
            </w:r>
          </w:p>
        </w:tc>
      </w:tr>
      <w:tr w14:paraId="055D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249" w:type="pct"/>
            <w:vAlign w:val="center"/>
          </w:tcPr>
          <w:p w14:paraId="21929302">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扩展功能</w:t>
            </w:r>
          </w:p>
        </w:tc>
        <w:tc>
          <w:tcPr>
            <w:tcW w:w="3751" w:type="pct"/>
            <w:vAlign w:val="center"/>
          </w:tcPr>
          <w:p w14:paraId="53CAE8CD">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内置PSAM卡槽2个或以上；</w:t>
            </w:r>
          </w:p>
          <w:p w14:paraId="23B6DB11">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具有金融功能，可支持非现金交易</w:t>
            </w:r>
            <w:r>
              <w:rPr>
                <w:rFonts w:hint="eastAsia" w:ascii="黑体" w:hAnsi="黑体" w:eastAsia="黑体"/>
                <w:color w:val="auto"/>
                <w:spacing w:val="15"/>
                <w:kern w:val="0"/>
                <w:szCs w:val="21"/>
                <w:highlight w:val="none"/>
              </w:rPr>
              <w:t>（</w:t>
            </w:r>
            <w:r>
              <w:rPr>
                <w:rFonts w:ascii="黑体" w:hAnsi="黑体" w:eastAsia="黑体"/>
                <w:color w:val="auto"/>
                <w:spacing w:val="15"/>
                <w:kern w:val="0"/>
                <w:szCs w:val="21"/>
                <w:highlight w:val="none"/>
              </w:rPr>
              <w:t>转账、社保交费等业务</w:t>
            </w:r>
            <w:r>
              <w:rPr>
                <w:rFonts w:hint="eastAsia" w:ascii="黑体" w:hAnsi="黑体" w:eastAsia="黑体"/>
                <w:color w:val="auto"/>
                <w:spacing w:val="15"/>
                <w:kern w:val="0"/>
                <w:szCs w:val="21"/>
                <w:highlight w:val="none"/>
              </w:rPr>
              <w:t>）。</w:t>
            </w:r>
          </w:p>
        </w:tc>
      </w:tr>
      <w:tr w14:paraId="4A14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49" w:type="pct"/>
            <w:vAlign w:val="center"/>
          </w:tcPr>
          <w:p w14:paraId="17533C64">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网络传输</w:t>
            </w:r>
          </w:p>
        </w:tc>
        <w:tc>
          <w:tcPr>
            <w:tcW w:w="3751" w:type="pct"/>
            <w:vAlign w:val="center"/>
          </w:tcPr>
          <w:p w14:paraId="3CB7141C">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支持以太网、WIFI、</w:t>
            </w:r>
            <w:r>
              <w:rPr>
                <w:rFonts w:hint="eastAsia" w:ascii="黑体" w:hAnsi="黑体" w:eastAsia="黑体"/>
                <w:color w:val="auto"/>
                <w:spacing w:val="15"/>
                <w:kern w:val="0"/>
                <w:szCs w:val="21"/>
                <w:highlight w:val="none"/>
              </w:rPr>
              <w:t>4</w:t>
            </w:r>
            <w:r>
              <w:rPr>
                <w:rFonts w:ascii="黑体" w:hAnsi="黑体" w:eastAsia="黑体"/>
                <w:color w:val="auto"/>
                <w:spacing w:val="15"/>
                <w:kern w:val="0"/>
                <w:szCs w:val="21"/>
                <w:highlight w:val="none"/>
              </w:rPr>
              <w:t>G以上、蓝牙等一种或多种数据传输方式</w:t>
            </w:r>
            <w:r>
              <w:rPr>
                <w:rFonts w:hint="eastAsia" w:ascii="黑体" w:hAnsi="黑体" w:eastAsia="黑体"/>
                <w:color w:val="auto"/>
                <w:spacing w:val="15"/>
                <w:kern w:val="0"/>
                <w:szCs w:val="21"/>
                <w:highlight w:val="none"/>
              </w:rPr>
              <w:t>。</w:t>
            </w:r>
          </w:p>
        </w:tc>
      </w:tr>
      <w:tr w14:paraId="6F31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49" w:type="pct"/>
            <w:vAlign w:val="center"/>
          </w:tcPr>
          <w:p w14:paraId="76A8EF96">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工作环境</w:t>
            </w:r>
          </w:p>
        </w:tc>
        <w:tc>
          <w:tcPr>
            <w:tcW w:w="3751" w:type="pct"/>
            <w:vAlign w:val="center"/>
          </w:tcPr>
          <w:p w14:paraId="53C7B4A8">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温度：0°C～40°C，湿度：20%～80%</w:t>
            </w:r>
            <w:r>
              <w:rPr>
                <w:rFonts w:hint="eastAsia" w:ascii="黑体" w:hAnsi="黑体" w:eastAsia="黑体"/>
                <w:color w:val="auto"/>
                <w:spacing w:val="15"/>
                <w:kern w:val="0"/>
                <w:szCs w:val="21"/>
                <w:highlight w:val="none"/>
              </w:rPr>
              <w:t>。</w:t>
            </w:r>
          </w:p>
        </w:tc>
      </w:tr>
      <w:tr w14:paraId="7555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49" w:type="pct"/>
            <w:vAlign w:val="center"/>
          </w:tcPr>
          <w:p w14:paraId="53C2405B">
            <w:pPr>
              <w:spacing w:line="360" w:lineRule="auto"/>
              <w:jc w:val="center"/>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安全认证</w:t>
            </w:r>
          </w:p>
        </w:tc>
        <w:tc>
          <w:tcPr>
            <w:tcW w:w="3751" w:type="pct"/>
            <w:vAlign w:val="center"/>
          </w:tcPr>
          <w:p w14:paraId="6B73F945">
            <w:pPr>
              <w:spacing w:line="360" w:lineRule="auto"/>
              <w:rPr>
                <w:rFonts w:ascii="黑体" w:hAnsi="黑体" w:eastAsia="黑体"/>
                <w:color w:val="auto"/>
                <w:spacing w:val="15"/>
                <w:kern w:val="0"/>
                <w:szCs w:val="21"/>
                <w:highlight w:val="none"/>
              </w:rPr>
            </w:pPr>
            <w:r>
              <w:rPr>
                <w:rFonts w:ascii="黑体" w:hAnsi="黑体" w:eastAsia="黑体"/>
                <w:color w:val="auto"/>
                <w:spacing w:val="15"/>
                <w:kern w:val="0"/>
                <w:szCs w:val="21"/>
                <w:highlight w:val="none"/>
              </w:rPr>
              <w:t>符合3C认证标准。</w:t>
            </w:r>
          </w:p>
        </w:tc>
      </w:tr>
    </w:tbl>
    <w:p w14:paraId="7DFE359F">
      <w:pPr>
        <w:pStyle w:val="15"/>
        <w:rPr>
          <w:color w:val="auto"/>
          <w:highlight w:val="none"/>
        </w:rPr>
      </w:pPr>
    </w:p>
    <w:p w14:paraId="23E7FC91">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四、信息技术应用创新升级改造服务内容</w:t>
      </w:r>
    </w:p>
    <w:p w14:paraId="07AD83E8">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（一）软件部分</w:t>
      </w:r>
    </w:p>
    <w:p w14:paraId="482DF889">
      <w:pPr>
        <w:pStyle w:val="14"/>
        <w:tabs>
          <w:tab w:val="left" w:pos="426"/>
        </w:tabs>
        <w:spacing w:line="360" w:lineRule="auto"/>
        <w:outlineLvl w:val="1"/>
        <w:rPr>
          <w:rFonts w:ascii="黑体" w:hAnsi="黑体" w:eastAsia="黑体" w:cs="黑体"/>
          <w:color w:val="auto"/>
          <w:szCs w:val="21"/>
          <w:highlight w:val="none"/>
        </w:rPr>
      </w:pPr>
      <w:r>
        <w:rPr>
          <w:rFonts w:hint="eastAsia" w:ascii="黑体" w:hAnsi="黑体" w:eastAsia="黑体" w:cs="黑体"/>
          <w:color w:val="auto"/>
          <w:szCs w:val="21"/>
          <w:highlight w:val="none"/>
        </w:rPr>
        <w:t>1、软件总体要求</w:t>
      </w:r>
    </w:p>
    <w:p w14:paraId="4E34782C">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整个项目包含社区诊疗一卡通服务平台、</w:t>
      </w:r>
      <w:bookmarkStart w:id="3" w:name="_Hlk185410472"/>
      <w:r>
        <w:rPr>
          <w:rFonts w:hint="eastAsia" w:ascii="黑体" w:hAnsi="黑体" w:eastAsia="黑体" w:cs="黑体"/>
          <w:color w:val="auto"/>
          <w:szCs w:val="21"/>
          <w:highlight w:val="none"/>
        </w:rPr>
        <w:t>社区诊疗一卡通运维和管理服务平台</w:t>
      </w:r>
      <w:bookmarkEnd w:id="3"/>
      <w:r>
        <w:rPr>
          <w:rFonts w:hint="eastAsia" w:ascii="黑体" w:hAnsi="黑体" w:eastAsia="黑体" w:cs="黑体"/>
          <w:color w:val="auto"/>
          <w:szCs w:val="21"/>
          <w:highlight w:val="none"/>
        </w:rPr>
        <w:t>、社区诊</w:t>
      </w:r>
      <w:r>
        <w:rPr>
          <w:rFonts w:hint="eastAsia" w:ascii="黑体" w:hAnsi="黑体" w:eastAsia="黑体" w:cs="黑体"/>
          <w:color w:val="auto"/>
          <w:szCs w:val="21"/>
          <w:highlight w:val="none"/>
        </w:rPr>
        <w:t>疗一卡通支付和对账平台的信息技术应用创新升级改造，中标人须按照采购人的要求，中标后编写诊疗一卡通平台信息技术应用创新升级改造方案，由采购人报市政数局批复为准后开展实施。改造系统软件需要适配主流的国产化操作系统、国产化数据库和应用中间件等。</w:t>
      </w:r>
    </w:p>
    <w:p w14:paraId="6972AF8C">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2、建设目标</w:t>
      </w:r>
    </w:p>
    <w:p w14:paraId="1042F8CB">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（1）软件信息技术应用创新升级</w:t>
      </w:r>
    </w:p>
    <w:p w14:paraId="410E7413">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color w:val="auto"/>
          <w:highlight w:val="none"/>
        </w:rPr>
        <w:t>投标人需按照采购人的要求，采用“稳步推进、平稳过渡”的原则，在2027年前对现有社区诊疗一卡通服务平台、社区诊疗一卡通运维和管理服务平台、社区诊疗一卡通支付和对账平台进行信息技术应用创新升级。</w:t>
      </w:r>
    </w:p>
    <w:p w14:paraId="1019D3F1">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（2）创新场景服务</w:t>
      </w:r>
    </w:p>
    <w:p w14:paraId="2F407FFE">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color w:val="auto"/>
          <w:highlight w:val="none"/>
        </w:rPr>
        <w:t>在合作期内，经采购人同意，投标人可在终端上加载银行金融服务和金融产品宣传内容，更好为人民群众提供服务。拟信息技术应用创新升级的社区诊疗一卡通平台涉及大量支付结算、身份验证等功能，投标人需在这些功能具有专业性、安全性等优势，可高效地完成群众医保个账资金及其他诊疗资金的清算对账，作为采购人线下服务点的有效补充。采购人需与投标人一起通力协作，本着实现资源共享、优势互补与业务创新目标，拓展服务范围，创新服务场景，共同为人民群众提供更便捷的“社保+金融”服务。</w:t>
      </w:r>
    </w:p>
    <w:p w14:paraId="19990449">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★3、软件投入规模要求。为保证项目的实施效果，投标人需承诺以下内容</w:t>
      </w:r>
      <w:r>
        <w:rPr>
          <w:rFonts w:hint="eastAsia" w:ascii="黑体" w:hAnsi="黑体" w:eastAsia="黑体"/>
          <w:b/>
          <w:bCs/>
          <w:color w:val="auto"/>
          <w:highlight w:val="none"/>
          <w:u w:val="single"/>
        </w:rPr>
        <w:t>（须提供书面服务承诺函加盖投标人公章）</w:t>
      </w:r>
      <w:r>
        <w:rPr>
          <w:rFonts w:hint="eastAsia" w:ascii="黑体" w:hAnsi="黑体" w:eastAsia="黑体"/>
          <w:color w:val="auto"/>
          <w:highlight w:val="none"/>
        </w:rPr>
        <w:t>：</w:t>
      </w:r>
    </w:p>
    <w:p w14:paraId="2F201539">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（1）投标人需按照采购人的要求对现有社保社区诊疗一卡通服务平台、社区诊疗一卡通运维和管理服务平台、社区诊疗一卡通结算和对账平台信息技术应用创新升级</w:t>
      </w:r>
      <w:r>
        <w:rPr>
          <w:rFonts w:hint="eastAsia" w:ascii="黑体" w:hAnsi="黑体" w:eastAsia="黑体"/>
          <w:color w:val="auto"/>
          <w:szCs w:val="21"/>
          <w:highlight w:val="none"/>
        </w:rPr>
        <w:t>。</w:t>
      </w:r>
      <w:r>
        <w:rPr>
          <w:rFonts w:hint="eastAsia" w:ascii="黑体" w:hAnsi="黑体" w:eastAsia="黑体"/>
          <w:color w:val="auto"/>
          <w:highlight w:val="none"/>
        </w:rPr>
        <w:t>升级改造内容会因为实际用工情况、采购人详细需求等情况发生变化，投标人应根据自身情况衡量本项目。</w:t>
      </w:r>
    </w:p>
    <w:p w14:paraId="7B3B47B9">
      <w:pPr>
        <w:pStyle w:val="15"/>
        <w:spacing w:line="360" w:lineRule="auto"/>
        <w:rPr>
          <w:rFonts w:ascii="黑体" w:hAnsi="黑体" w:eastAsia="黑体" w:cs="宋体"/>
          <w:color w:val="auto"/>
          <w:highlight w:val="none"/>
        </w:rPr>
      </w:pPr>
      <w:r>
        <w:rPr>
          <w:rFonts w:hint="eastAsia" w:ascii="黑体" w:hAnsi="黑体" w:eastAsia="黑体"/>
          <w:color w:val="auto"/>
          <w:highlight w:val="none"/>
        </w:rPr>
        <w:t>（2）</w:t>
      </w:r>
      <w:r>
        <w:rPr>
          <w:rFonts w:hint="eastAsia" w:ascii="黑体" w:hAnsi="黑体" w:eastAsia="黑体" w:cs="宋体"/>
          <w:color w:val="auto"/>
          <w:highlight w:val="none"/>
        </w:rPr>
        <w:t>如因国家政策法规或服务内容变更需进行软件升级服务的，中标人须无条件满足配合，其费用由中标人提供，采购人不承担任何费用。</w:t>
      </w:r>
    </w:p>
    <w:p w14:paraId="2008E63C">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★4.进度要求。为保证项目的实施效果，投标人需承诺以下内容</w:t>
      </w:r>
      <w:r>
        <w:rPr>
          <w:rFonts w:hint="eastAsia" w:ascii="黑体" w:hAnsi="黑体" w:eastAsia="黑体"/>
          <w:b/>
          <w:bCs/>
          <w:color w:val="auto"/>
          <w:highlight w:val="none"/>
          <w:u w:val="single"/>
        </w:rPr>
        <w:t>（须提供书面服务承诺函加盖投标人公章）</w:t>
      </w:r>
      <w:r>
        <w:rPr>
          <w:rFonts w:hint="eastAsia" w:ascii="黑体" w:hAnsi="黑体" w:eastAsia="黑体"/>
          <w:color w:val="auto"/>
          <w:highlight w:val="none"/>
        </w:rPr>
        <w:t>：</w:t>
      </w:r>
    </w:p>
    <w:p w14:paraId="178256A6">
      <w:pPr>
        <w:pStyle w:val="14"/>
        <w:tabs>
          <w:tab w:val="left" w:pos="426"/>
          <w:tab w:val="left" w:pos="567"/>
        </w:tabs>
        <w:spacing w:line="360" w:lineRule="auto"/>
        <w:ind w:firstLineChars="0"/>
        <w:rPr>
          <w:rFonts w:ascii="黑体" w:hAnsi="黑体" w:eastAsia="黑体"/>
          <w:color w:val="auto"/>
          <w:szCs w:val="21"/>
          <w:highlight w:val="none"/>
        </w:rPr>
      </w:pPr>
      <w:r>
        <w:rPr>
          <w:rFonts w:hint="eastAsia" w:ascii="黑体" w:hAnsi="黑体" w:eastAsia="黑体"/>
          <w:color w:val="auto"/>
          <w:highlight w:val="none"/>
        </w:rPr>
        <w:t>（1）中标人应在签订合同生效后 30个工作日内向采购人提交软件升级计划，并按照“稳步推进，平稳过渡”的原则，于2027年前完成信息技术应用创新升级及其相关配套服务。</w:t>
      </w:r>
    </w:p>
    <w:p w14:paraId="00F9C9CE">
      <w:pPr>
        <w:pStyle w:val="14"/>
        <w:tabs>
          <w:tab w:val="left" w:pos="426"/>
          <w:tab w:val="left" w:pos="567"/>
        </w:tabs>
        <w:spacing w:line="360" w:lineRule="auto"/>
        <w:ind w:firstLineChars="0"/>
        <w:rPr>
          <w:rFonts w:ascii="黑体" w:hAnsi="黑体" w:eastAsia="黑体"/>
          <w:color w:val="auto"/>
          <w:szCs w:val="21"/>
          <w:highlight w:val="none"/>
        </w:rPr>
      </w:pPr>
      <w:r>
        <w:rPr>
          <w:rFonts w:hint="eastAsia" w:ascii="黑体" w:hAnsi="黑体" w:eastAsia="黑体"/>
          <w:color w:val="auto"/>
          <w:szCs w:val="21"/>
          <w:highlight w:val="none"/>
        </w:rPr>
        <w:t>（2）投标人如获中标，须按采购人的要求规划建设和内容改造，并接受采购人的监督和指导，保证软件升级、配套设备和后期维护的内容符合采购人要求。</w:t>
      </w:r>
    </w:p>
    <w:p w14:paraId="06FD13A9">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szCs w:val="21"/>
          <w:highlight w:val="none"/>
        </w:rPr>
        <w:t>（3）诊疗一卡通自助服务平台的软件系统、终端硬件设备和后期维护需经采购人验收后方可视为项目建设完成。软件系统的功能要求需要全部满足本项目需求，对于中标人另行增加的功能需要征得采购人同意；终端硬件设备需要满足本项目需求中的最低标准，中标人可在征得采购人同意的情况下提高终端硬件标准，但不可降低；后期维护内容满足项目建设需要。</w:t>
      </w:r>
    </w:p>
    <w:p w14:paraId="4D9E77B7">
      <w:pPr>
        <w:pStyle w:val="15"/>
        <w:rPr>
          <w:rFonts w:ascii="黑体" w:hAnsi="黑体" w:eastAsia="黑体"/>
          <w:color w:val="auto"/>
          <w:highlight w:val="none"/>
        </w:rPr>
      </w:pPr>
      <w:r>
        <w:rPr>
          <w:rFonts w:hint="eastAsia" w:ascii="黑体" w:hAnsi="黑体" w:eastAsia="黑体"/>
          <w:color w:val="auto"/>
          <w:highlight w:val="none"/>
        </w:rPr>
        <w:t>5、建设内容。</w:t>
      </w:r>
      <w:r>
        <w:rPr>
          <w:rFonts w:hint="eastAsia" w:ascii="黑体" w:hAnsi="黑体" w:eastAsia="黑体" w:cs="黑体"/>
          <w:color w:val="auto"/>
          <w:szCs w:val="21"/>
          <w:highlight w:val="none"/>
        </w:rPr>
        <w:t>以下内容为大体需求，实际实施需求可能有偏差，最终以实施用户需求书为准。</w:t>
      </w:r>
    </w:p>
    <w:p w14:paraId="7771A589">
      <w:pPr>
        <w:pStyle w:val="14"/>
        <w:tabs>
          <w:tab w:val="left" w:pos="426"/>
        </w:tabs>
        <w:spacing w:line="360" w:lineRule="auto"/>
        <w:ind w:firstLine="413" w:firstLineChars="196"/>
        <w:outlineLvl w:val="2"/>
        <w:rPr>
          <w:rFonts w:ascii="黑体" w:hAnsi="黑体" w:eastAsia="黑体" w:cs="黑体"/>
          <w:b/>
          <w:bCs/>
          <w:color w:val="auto"/>
          <w:szCs w:val="21"/>
          <w:highlight w:val="none"/>
        </w:rPr>
      </w:pPr>
      <w:bookmarkStart w:id="4" w:name="_Hlk191576506"/>
      <w:bookmarkStart w:id="5" w:name="OLE_LINK4"/>
      <w:r>
        <w:rPr>
          <w:rFonts w:hint="eastAsia" w:ascii="黑体" w:hAnsi="黑体" w:eastAsia="黑体" w:cs="黑体"/>
          <w:b/>
          <w:bCs/>
          <w:color w:val="auto"/>
          <w:szCs w:val="21"/>
          <w:highlight w:val="none"/>
        </w:rPr>
        <w:t>5.1 社区诊疗一卡通服务平台信息技术应用创新升级改造</w:t>
      </w:r>
    </w:p>
    <w:p w14:paraId="267EF36B">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包括但不仅限于：身份识别、自助挂号及自助签到、线上预约就诊签到、自助缴费、医保结算、自助查询、就医服务提示、就诊微信通知服务和金融服务。</w:t>
      </w:r>
      <w:bookmarkStart w:id="6" w:name="OLE_LINK7"/>
      <w:r>
        <w:rPr>
          <w:rFonts w:hint="eastAsia" w:ascii="黑体" w:hAnsi="黑体" w:eastAsia="黑体" w:cs="黑体"/>
          <w:color w:val="auto"/>
          <w:szCs w:val="21"/>
          <w:highlight w:val="none"/>
        </w:rPr>
        <w:t>具体需求如下：</w:t>
      </w:r>
    </w:p>
    <w:p w14:paraId="7A942DCC">
      <w:pPr>
        <w:pStyle w:val="18"/>
        <w:spacing w:after="0" w:line="360" w:lineRule="auto"/>
        <w:ind w:left="422" w:firstLine="0" w:firstLineChars="0"/>
        <w:outlineLvl w:val="3"/>
        <w:rPr>
          <w:rFonts w:ascii="黑体" w:hAnsi="黑体" w:eastAsia="黑体" w:cs="黑体"/>
          <w:color w:val="auto"/>
          <w:highlight w:val="none"/>
        </w:rPr>
      </w:pPr>
      <w:bookmarkStart w:id="7" w:name="OLE_LINK12"/>
      <w:bookmarkStart w:id="8" w:name="OLE_LINK9"/>
      <w:r>
        <w:rPr>
          <w:rFonts w:hint="eastAsia" w:ascii="黑体" w:hAnsi="黑体" w:eastAsia="黑体" w:cs="黑体"/>
          <w:color w:val="auto"/>
          <w:highlight w:val="none"/>
        </w:rPr>
        <w:t>（1）身份识别</w:t>
      </w:r>
    </w:p>
    <w:p w14:paraId="1C1F9E37">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系统需支持</w:t>
      </w:r>
      <w:r>
        <w:rPr>
          <w:rFonts w:hint="eastAsia" w:ascii="黑体" w:hAnsi="黑体" w:eastAsia="黑体" w:cs="黑体"/>
          <w:color w:val="auto"/>
          <w:szCs w:val="21"/>
          <w:highlight w:val="none"/>
        </w:rPr>
        <w:t>社保卡、电子社保卡、医保电子凭证、电子市民码、电子健康码、身份证等多种介质</w:t>
      </w:r>
      <w:r>
        <w:rPr>
          <w:rFonts w:hint="eastAsia" w:ascii="黑体" w:hAnsi="黑体" w:eastAsia="黑体" w:cs="黑体"/>
          <w:color w:val="auto"/>
          <w:highlight w:val="none"/>
        </w:rPr>
        <w:t>作为就诊凭证登录自助服务系统。</w:t>
      </w:r>
    </w:p>
    <w:p w14:paraId="24E90905">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（2）自助挂号及自助签到</w:t>
      </w:r>
    </w:p>
    <w:p w14:paraId="3B0C6355">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自助挂号。支持选择科室、医生、就诊时间完成挂号，支持挂号结果信息展示，支持根据用户挂号习惯快捷一键挂号。</w:t>
      </w:r>
    </w:p>
    <w:p w14:paraId="4071FA0A">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自助签到。与预约系统对接，支持展示查询预约情况，支持预约过期控制。</w:t>
      </w:r>
    </w:p>
    <w:p w14:paraId="26AEBA3B">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（3）自助缴费</w:t>
      </w:r>
    </w:p>
    <w:p w14:paraId="3B8FF975">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要支持展示未缴费明细清单（药费、检查费等）信息，支持多张就诊单合并结算，支持自费结算和医保结算，支持社保卡支付、亲属社保卡支付、银联卡支付、电子社保卡支付、电子社保卡（消费码）支付、医保电子凭证支付、银联聚合支付（含支付宝、微信、云闪付）等多种支付方式。</w:t>
      </w:r>
    </w:p>
    <w:p w14:paraId="22838C48">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（4）自助查询服务</w:t>
      </w:r>
    </w:p>
    <w:p w14:paraId="59EE543F">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需支持多样化的自助查询服务，包括家庭医生签约信息查询、参保信息查询等。</w:t>
      </w:r>
    </w:p>
    <w:p w14:paraId="29A447D7">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（5）自助金融服务</w:t>
      </w:r>
    </w:p>
    <w:p w14:paraId="1E3A0022">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支持包括银联卡余额查询、银行产品或活动宣传、银行业务板块访问等功能。</w:t>
      </w:r>
    </w:p>
    <w:p w14:paraId="092C957B">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（6）其它自助服务</w:t>
      </w:r>
    </w:p>
    <w:p w14:paraId="6DDE20AF">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消息服务：需对接东莞社保微信公众号，发送挂号、缴费通知，支持发票展示服务；</w:t>
      </w:r>
    </w:p>
    <w:p w14:paraId="35DDE3F5">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提示服务：根据HIS的服务内容，在自助系统提醒特定患者进行血压测量、血糖监测。</w:t>
      </w:r>
    </w:p>
    <w:bookmarkEnd w:id="4"/>
    <w:bookmarkEnd w:id="5"/>
    <w:bookmarkEnd w:id="6"/>
    <w:bookmarkEnd w:id="7"/>
    <w:bookmarkEnd w:id="8"/>
    <w:p w14:paraId="52A21E1D">
      <w:pPr>
        <w:tabs>
          <w:tab w:val="left" w:pos="426"/>
        </w:tabs>
        <w:spacing w:line="360" w:lineRule="auto"/>
        <w:ind w:firstLine="413" w:firstLineChars="196"/>
        <w:outlineLvl w:val="2"/>
        <w:rPr>
          <w:rFonts w:ascii="黑体" w:hAnsi="黑体" w:eastAsia="黑体" w:cs="黑体"/>
          <w:b/>
          <w:color w:val="auto"/>
          <w:szCs w:val="21"/>
          <w:highlight w:val="none"/>
        </w:rPr>
      </w:pPr>
      <w:r>
        <w:rPr>
          <w:rFonts w:hint="eastAsia" w:ascii="黑体" w:hAnsi="黑体" w:eastAsia="黑体" w:cs="黑体"/>
          <w:b/>
          <w:color w:val="auto"/>
          <w:szCs w:val="21"/>
          <w:highlight w:val="none"/>
        </w:rPr>
        <w:t>5.2社区诊疗一卡通运维和管理服务平台信息技术应用创新升级改造</w:t>
      </w:r>
    </w:p>
    <w:p w14:paraId="5DB364D4">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针对社区诊疗一卡通运维和管理服务平台信息技术应用创新升级改造，提供设备版终端信息管理、版本上传下发、版本升级记录、终端监控、菜单管理、字典管理、机构管理、角色管理、用户管理、统一的运维和管理服务平台、版本升级下发、运行监控、日志实时上报等功能。具体需求如下：</w:t>
      </w:r>
    </w:p>
    <w:p w14:paraId="2981458F">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（1）系统管理</w:t>
      </w:r>
    </w:p>
    <w:p w14:paraId="7002D285">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基础管理主要是平台的权限管理的基础模块，涉及到平台区域机构、用户（创建、登陆等）、权限管理。系统需支持角色管理，根据不同机构（如社保局、社区等）分配相应的权限</w:t>
      </w:r>
    </w:p>
    <w:p w14:paraId="22D919AC">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（2）终端管理</w:t>
      </w:r>
    </w:p>
    <w:p w14:paraId="502C470A">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系统需支持终端(硬件配置及服务)的增删改查，支持终端报表导出。</w:t>
      </w:r>
    </w:p>
    <w:p w14:paraId="4C15BB04">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系统需支持可后台控制业务的开启；支持指令下发（暂停、恢复、程序重启、终端重启等）。系统需支持终端软件的手动远程批量升级或自动升级。</w:t>
      </w:r>
    </w:p>
    <w:p w14:paraId="18A2468E">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（3）系统监控维护</w:t>
      </w:r>
    </w:p>
    <w:p w14:paraId="492C58F6">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系统需支持终端(硬件模块及服务)状态查询，采集终端运行时各种数据，包括：硬件状态，在线状态、服务状态。系统可实时监控终端故障状态，并通过短信或微信发送预警通知。</w:t>
      </w:r>
    </w:p>
    <w:p w14:paraId="6092248D">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（4）其它需求</w:t>
      </w:r>
    </w:p>
    <w:p w14:paraId="5D96D7AC">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系统需支持多样化的日志采集（交易日志、告警日志终端运行日志等）及报表导出，支持系统报表查询交易耗时性能，为维护管理人员提供运维支持。</w:t>
      </w:r>
    </w:p>
    <w:p w14:paraId="3A6C87F0">
      <w:pPr>
        <w:tabs>
          <w:tab w:val="left" w:pos="426"/>
        </w:tabs>
        <w:spacing w:line="360" w:lineRule="auto"/>
        <w:ind w:firstLine="422" w:firstLineChars="200"/>
        <w:outlineLvl w:val="2"/>
        <w:rPr>
          <w:rFonts w:ascii="黑体" w:hAnsi="黑体" w:eastAsia="黑体" w:cs="黑体"/>
          <w:color w:val="auto"/>
          <w:szCs w:val="21"/>
          <w:highlight w:val="none"/>
        </w:rPr>
      </w:pPr>
      <w:r>
        <w:rPr>
          <w:rFonts w:hint="eastAsia" w:ascii="黑体" w:hAnsi="黑体" w:eastAsia="黑体" w:cs="黑体"/>
          <w:b/>
          <w:bCs/>
          <w:color w:val="auto"/>
          <w:szCs w:val="21"/>
          <w:highlight w:val="none"/>
        </w:rPr>
        <w:t>5.3 社区诊疗一卡通支付和对账平台</w:t>
      </w:r>
      <w:r>
        <w:rPr>
          <w:rFonts w:hint="eastAsia" w:ascii="黑体" w:hAnsi="黑体" w:eastAsia="黑体" w:cs="黑体"/>
          <w:b/>
          <w:color w:val="auto"/>
          <w:szCs w:val="21"/>
          <w:highlight w:val="none"/>
        </w:rPr>
        <w:t>信息技术应用创新升级</w:t>
      </w:r>
      <w:r>
        <w:rPr>
          <w:rFonts w:hint="eastAsia" w:ascii="黑体" w:hAnsi="黑体" w:eastAsia="黑体" w:cs="黑体"/>
          <w:b/>
          <w:bCs/>
          <w:color w:val="auto"/>
          <w:szCs w:val="21"/>
          <w:highlight w:val="none"/>
        </w:rPr>
        <w:t>改造</w:t>
      </w:r>
    </w:p>
    <w:p w14:paraId="00D935DB">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针对社区诊疗一卡通支付和对账平台信息技术应用创新升级改造，为社区提供便捷的统一支付和对账、退费以及系统管理服务。具体需求如下：</w:t>
      </w:r>
    </w:p>
    <w:p w14:paraId="7EEAEAAA">
      <w:pPr>
        <w:pStyle w:val="18"/>
        <w:spacing w:after="0" w:line="360" w:lineRule="auto"/>
        <w:ind w:left="422" w:firstLine="0" w:firstLineChars="0"/>
        <w:outlineLvl w:val="3"/>
        <w:rPr>
          <w:rFonts w:ascii="黑体" w:hAnsi="黑体" w:eastAsia="黑体" w:cs="黑体"/>
          <w:color w:val="auto"/>
          <w:highlight w:val="none"/>
        </w:rPr>
      </w:pPr>
      <w:bookmarkStart w:id="9" w:name="OLE_LINK5"/>
      <w:r>
        <w:rPr>
          <w:rFonts w:hint="eastAsia" w:ascii="黑体" w:hAnsi="黑体" w:eastAsia="黑体" w:cs="黑体"/>
          <w:color w:val="auto"/>
          <w:highlight w:val="none"/>
        </w:rPr>
        <w:t>（1）统一支付业务</w:t>
      </w:r>
    </w:p>
    <w:p w14:paraId="2374622F">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①医保统筹支付</w:t>
      </w:r>
    </w:p>
    <w:p w14:paraId="3D6D9E85">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通过支付平台与HIS厂商对接，并由HIS厂商进一步与社保中心对接，确保参保人员的统筹支付过程准确无误且安全可靠。</w:t>
      </w:r>
    </w:p>
    <w:p w14:paraId="0607E792">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②医保个账支付：支持多种支付方式，包括第二代社保卡：插卡支付、第三代社保卡：非接触式支付、电子社保卡及医保电子凭证：扫码支付。</w:t>
      </w:r>
    </w:p>
    <w:p w14:paraId="1B04D6BA">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③金融账户支付：支持符合银联标准的所有银行卡进行支付操作。</w:t>
      </w:r>
    </w:p>
    <w:p w14:paraId="1E791611">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④第三方支付：利用东莞银行提供的聚合支付接口，实现多渠道聚合扫码支付功能，包括：支付宝、微信支付、云闪付。</w:t>
      </w:r>
    </w:p>
    <w:bookmarkEnd w:id="9"/>
    <w:p w14:paraId="4312591C">
      <w:pPr>
        <w:pStyle w:val="18"/>
        <w:spacing w:after="0" w:line="360" w:lineRule="auto"/>
        <w:ind w:left="422" w:firstLine="0" w:firstLineChars="0"/>
        <w:outlineLvl w:val="3"/>
        <w:rPr>
          <w:rFonts w:ascii="黑体" w:hAnsi="黑体" w:eastAsia="黑体" w:cs="黑体"/>
          <w:color w:val="auto"/>
          <w:highlight w:val="none"/>
        </w:rPr>
      </w:pPr>
      <w:bookmarkStart w:id="10" w:name="OLE_LINK3"/>
      <w:r>
        <w:rPr>
          <w:rFonts w:hint="eastAsia" w:ascii="黑体" w:hAnsi="黑体" w:eastAsia="黑体" w:cs="黑体"/>
          <w:color w:val="auto"/>
          <w:highlight w:val="none"/>
        </w:rPr>
        <w:t>（2）统一自动对账</w:t>
      </w:r>
    </w:p>
    <w:p w14:paraId="7B0B13EB">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在医保个账与金融账户的财务核对流程中，采用自动化系统进行对账，确保记录准确无误。该系统支持社区网点通过不同支付方式（如自助服务渠道）实现与合作银行及HIS厂商之间的多维度账目核对。</w:t>
      </w:r>
    </w:p>
    <w:p w14:paraId="45E8111A">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对账汇总：基于HIS厂商和合作银行提供的电子账单或接口数据，系统自动完成所有交易的对账，并分级汇总结果，提供导出功能。对账完成后，结果将自动通知相关财务人员。</w:t>
      </w:r>
    </w:p>
    <w:p w14:paraId="741CEDA2">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对账明细：展示包括正常和异常交易在内的详细账单信息（涵盖第三方和HIS厂商的数据）。</w:t>
      </w:r>
    </w:p>
    <w:p w14:paraId="10EC4263">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差错分析：识别并展示账目不平的异常情况（包括长款和短款），并提供智能分析帮助理解原因。用户可直接在此界面处理相关异常。</w:t>
      </w:r>
    </w:p>
    <w:p w14:paraId="5B473743">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对账记录：保存并展示对账历史日志，便于核查。</w:t>
      </w:r>
    </w:p>
    <w:p w14:paraId="4C27B62F">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对账报表：每日统计并生成第三方与HIS厂商收入金额及其差异的报表。</w:t>
      </w:r>
    </w:p>
    <w:bookmarkEnd w:id="10"/>
    <w:p w14:paraId="6F273FAE">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（3）统一退费</w:t>
      </w:r>
    </w:p>
    <w:p w14:paraId="6C07F8FB">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支持所有支付方式的退费。</w:t>
      </w:r>
    </w:p>
    <w:p w14:paraId="4D7BB1BA">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异常退费：支持在系统异常、通信异常或第三方异常的情况下，进行自动或手动退费。</w:t>
      </w:r>
    </w:p>
    <w:p w14:paraId="5D2506F3">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正常退费：在交易订单成功支付时，用户提出退费申请。支持与HIS系统对接，完成用户退费需求。</w:t>
      </w:r>
    </w:p>
    <w:p w14:paraId="1DBC0FE9">
      <w:pPr>
        <w:spacing w:line="360" w:lineRule="auto"/>
        <w:ind w:firstLine="420" w:firstLineChars="200"/>
        <w:rPr>
          <w:rFonts w:ascii="黑体" w:hAnsi="黑体" w:eastAsia="黑体" w:cs="黑体"/>
          <w:color w:val="auto"/>
          <w:highlight w:val="none"/>
        </w:rPr>
      </w:pPr>
      <w:r>
        <w:rPr>
          <w:rFonts w:hint="eastAsia" w:ascii="黑体" w:hAnsi="黑体" w:eastAsia="黑体" w:cs="黑体"/>
          <w:color w:val="auto"/>
          <w:highlight w:val="none"/>
        </w:rPr>
        <w:t>退费查询：支持通过系统查询是否满足异常退费条件，支持通过系统查询退费结果。</w:t>
      </w:r>
    </w:p>
    <w:p w14:paraId="3D6016AB">
      <w:pPr>
        <w:pStyle w:val="18"/>
        <w:spacing w:after="0" w:line="360" w:lineRule="auto"/>
        <w:ind w:left="422" w:firstLine="0" w:firstLineChars="0"/>
        <w:outlineLvl w:val="3"/>
        <w:rPr>
          <w:rFonts w:ascii="黑体" w:hAnsi="黑体" w:eastAsia="黑体" w:cs="黑体"/>
          <w:color w:val="auto"/>
          <w:highlight w:val="none"/>
        </w:rPr>
      </w:pPr>
      <w:r>
        <w:rPr>
          <w:rFonts w:hint="eastAsia" w:ascii="黑体" w:hAnsi="黑体" w:eastAsia="黑体" w:cs="黑体"/>
          <w:color w:val="auto"/>
          <w:highlight w:val="none"/>
        </w:rPr>
        <w:t>（4）系统管理服务</w:t>
      </w:r>
    </w:p>
    <w:p w14:paraId="724B7089">
      <w:pPr>
        <w:tabs>
          <w:tab w:val="left" w:pos="426"/>
        </w:tabs>
        <w:spacing w:line="360" w:lineRule="auto"/>
        <w:ind w:firstLine="420" w:firstLineChars="200"/>
        <w:outlineLvl w:val="3"/>
        <w:rPr>
          <w:rFonts w:ascii="黑体" w:hAnsi="黑体" w:eastAsia="黑体" w:cs="黑体"/>
          <w:color w:val="auto"/>
          <w:szCs w:val="21"/>
          <w:highlight w:val="none"/>
        </w:rPr>
      </w:pPr>
      <w:r>
        <w:rPr>
          <w:rFonts w:hint="eastAsia" w:ascii="黑体" w:hAnsi="黑体" w:eastAsia="黑体" w:cs="黑体"/>
          <w:color w:val="auto"/>
          <w:highlight w:val="none"/>
        </w:rPr>
        <w:t>①</w:t>
      </w:r>
      <w:r>
        <w:rPr>
          <w:rFonts w:hint="eastAsia" w:ascii="黑体" w:hAnsi="黑体" w:eastAsia="黑体" w:cs="黑体"/>
          <w:color w:val="auto"/>
          <w:szCs w:val="21"/>
          <w:highlight w:val="none"/>
        </w:rPr>
        <w:t>管理服务</w:t>
      </w:r>
    </w:p>
    <w:p w14:paraId="136D9AAD">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参数化配置对账流程、标准化对账数据、统一展示对账结果，支持按机构、角色、用户进行权限管理等。</w:t>
      </w:r>
    </w:p>
    <w:p w14:paraId="2132EBF0">
      <w:pPr>
        <w:tabs>
          <w:tab w:val="left" w:pos="426"/>
        </w:tabs>
        <w:spacing w:line="360" w:lineRule="auto"/>
        <w:ind w:firstLine="420" w:firstLineChars="200"/>
        <w:outlineLvl w:val="3"/>
        <w:rPr>
          <w:rFonts w:ascii="黑体" w:hAnsi="黑体" w:eastAsia="黑体" w:cs="黑体"/>
          <w:color w:val="auto"/>
          <w:szCs w:val="21"/>
          <w:highlight w:val="none"/>
        </w:rPr>
      </w:pPr>
      <w:r>
        <w:rPr>
          <w:rFonts w:hint="eastAsia" w:ascii="黑体" w:hAnsi="黑体" w:eastAsia="黑体" w:cs="黑体"/>
          <w:color w:val="auto"/>
          <w:szCs w:val="21"/>
          <w:highlight w:val="none"/>
        </w:rPr>
        <w:t>②报表图表服务</w:t>
      </w:r>
    </w:p>
    <w:p w14:paraId="3C2A7769">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报表：提供实时缴费查询、退费查询、对账明细、对账汇总、交易汇总查询、自助结算量、计算率等；</w:t>
      </w:r>
    </w:p>
    <w:p w14:paraId="0B8F52BB">
      <w:pPr>
        <w:tabs>
          <w:tab w:val="left" w:pos="426"/>
        </w:tabs>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图表：支持按支付方式、服务渠道使用图表展示缴费当天和最近一段时间的趋势。</w:t>
      </w:r>
    </w:p>
    <w:p w14:paraId="5F898870">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（二）硬件部分</w:t>
      </w:r>
    </w:p>
    <w:p w14:paraId="29FBD545">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1、建设目标</w:t>
      </w:r>
    </w:p>
    <w:p w14:paraId="67092D52">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color w:val="auto"/>
          <w:highlight w:val="none"/>
        </w:rPr>
        <w:t>为保证项目的实施效果，投标人需按照采购人的硬件要求和数量配备设备，且满足自助身份识别、自助挂号、自助签到、医保结算、缴费支付、参保信息查询、健康档案查询等方便快捷的“一站式”服务。</w:t>
      </w:r>
    </w:p>
    <w:p w14:paraId="0C7F1A09">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★2、投入规模要求。为保证项目的实施效果，投标人需承诺以下内容</w:t>
      </w:r>
      <w:r>
        <w:rPr>
          <w:rFonts w:hint="eastAsia" w:ascii="黑体" w:hAnsi="黑体" w:eastAsia="黑体"/>
          <w:b/>
          <w:bCs/>
          <w:color w:val="auto"/>
          <w:highlight w:val="none"/>
          <w:u w:val="single"/>
        </w:rPr>
        <w:t>（须提供书面服务承诺函加盖投标人公章）</w:t>
      </w:r>
      <w:r>
        <w:rPr>
          <w:rFonts w:hint="eastAsia" w:ascii="黑体" w:hAnsi="黑体" w:eastAsia="黑体"/>
          <w:color w:val="auto"/>
          <w:highlight w:val="none"/>
        </w:rPr>
        <w:t>：</w:t>
      </w:r>
      <w:r>
        <w:rPr>
          <w:rFonts w:ascii="黑体" w:hAnsi="黑体" w:eastAsia="黑体"/>
          <w:color w:val="auto"/>
          <w:highlight w:val="none"/>
        </w:rPr>
        <w:t xml:space="preserve"> </w:t>
      </w:r>
    </w:p>
    <w:p w14:paraId="521FD83E">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（1）根据上级部门对终端设备的要求，投标人提供的设备需要满足规范性文件的要求。现行的规范性文件包括《自助服务终端通用规范（GB/T 23647-2009）》、《</w:t>
      </w:r>
      <w:r>
        <w:rPr>
          <w:rFonts w:hint="eastAsia" w:ascii="黑体" w:hAnsi="黑体" w:eastAsia="黑体"/>
          <w:bCs/>
          <w:color w:val="auto"/>
          <w:szCs w:val="21"/>
          <w:highlight w:val="none"/>
        </w:rPr>
        <w:t>人力资源社会保障管理信息系统信息结构通则</w:t>
      </w:r>
      <w:r>
        <w:rPr>
          <w:rFonts w:ascii="黑体" w:hAnsi="黑体" w:eastAsia="黑体"/>
          <w:bCs/>
          <w:color w:val="auto"/>
          <w:szCs w:val="21"/>
          <w:highlight w:val="none"/>
        </w:rPr>
        <w:t>（试行）</w:t>
      </w:r>
      <w:r>
        <w:rPr>
          <w:rFonts w:hint="eastAsia" w:ascii="黑体" w:hAnsi="黑体" w:eastAsia="黑体"/>
          <w:bCs/>
          <w:color w:val="auto"/>
          <w:szCs w:val="21"/>
          <w:highlight w:val="none"/>
        </w:rPr>
        <w:t>（</w:t>
      </w:r>
      <w:r>
        <w:rPr>
          <w:rFonts w:ascii="黑体" w:hAnsi="黑体" w:eastAsia="黑体"/>
          <w:bCs/>
          <w:color w:val="auto"/>
          <w:szCs w:val="21"/>
          <w:highlight w:val="none"/>
        </w:rPr>
        <w:t>人社信息函〔2010〕55号</w:t>
      </w:r>
      <w:r>
        <w:rPr>
          <w:rFonts w:hint="eastAsia" w:ascii="黑体" w:hAnsi="黑体" w:eastAsia="黑体"/>
          <w:bCs/>
          <w:color w:val="auto"/>
          <w:szCs w:val="21"/>
          <w:highlight w:val="none"/>
        </w:rPr>
        <w:t>）》、</w:t>
      </w:r>
      <w:r>
        <w:rPr>
          <w:rFonts w:ascii="黑体" w:hAnsi="黑体" w:eastAsia="黑体"/>
          <w:bCs/>
          <w:color w:val="auto"/>
          <w:szCs w:val="21"/>
          <w:highlight w:val="none"/>
        </w:rPr>
        <w:t>《社会保障卡加载金融功能通用规范</w:t>
      </w:r>
      <w:r>
        <w:rPr>
          <w:rFonts w:hint="eastAsia" w:ascii="黑体" w:hAnsi="黑体" w:eastAsia="黑体"/>
          <w:bCs/>
          <w:color w:val="auto"/>
          <w:szCs w:val="21"/>
          <w:highlight w:val="none"/>
        </w:rPr>
        <w:t>》</w:t>
      </w:r>
      <w:r>
        <w:rPr>
          <w:rFonts w:hint="eastAsia" w:ascii="黑体" w:hAnsi="黑体" w:eastAsia="黑体"/>
          <w:color w:val="auto"/>
          <w:highlight w:val="none"/>
        </w:rPr>
        <w:t>。</w:t>
      </w:r>
    </w:p>
    <w:p w14:paraId="20E1245D">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（2）如因国家政策法规或服务内容变更导致本项目升级内容和设备配置有所变动的，投标人须无条件满足该要求。</w:t>
      </w:r>
    </w:p>
    <w:p w14:paraId="7FD0CC1E">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（3）为保证项目的实施效果，采购人需为东莞市内每个定点社区卫生服务中心提供至少二台、每个定点社区卫生服务站提供至少一台诊疗一卡通自助终端，总数量不低于450台，数量按社区实际需求适时调整。</w:t>
      </w:r>
    </w:p>
    <w:p w14:paraId="0393B159">
      <w:pPr>
        <w:pStyle w:val="14"/>
        <w:tabs>
          <w:tab w:val="left" w:pos="426"/>
          <w:tab w:val="left" w:pos="567"/>
        </w:tabs>
        <w:spacing w:line="360" w:lineRule="auto"/>
        <w:ind w:firstLineChars="0"/>
        <w:rPr>
          <w:rFonts w:ascii="黑体" w:hAnsi="黑体" w:eastAsia="黑体"/>
          <w:color w:val="auto"/>
          <w:highlight w:val="none"/>
        </w:rPr>
      </w:pPr>
      <w:r>
        <w:rPr>
          <w:rFonts w:hint="eastAsia" w:ascii="黑体" w:hAnsi="黑体" w:eastAsia="黑体"/>
          <w:color w:val="auto"/>
          <w:highlight w:val="none"/>
        </w:rPr>
        <w:t>3、信息技术应用创新升级改造后硬件设备基本要求：</w:t>
      </w:r>
    </w:p>
    <w:p w14:paraId="565664C9">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（1）终端设备需满足规范性文件要求</w:t>
      </w:r>
    </w:p>
    <w:p w14:paraId="10CA81A0">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终端需要满足下列文件的标准要求：</w:t>
      </w:r>
    </w:p>
    <w:p w14:paraId="01E3D774">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1）GB/T 23647-2009自助服务终端通用规范</w:t>
      </w:r>
    </w:p>
    <w:p w14:paraId="08A29E63">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2）</w:t>
      </w:r>
      <w:r>
        <w:rPr>
          <w:rFonts w:ascii="黑体" w:hAnsi="黑体" w:eastAsia="黑体"/>
          <w:bCs/>
          <w:color w:val="auto"/>
          <w:szCs w:val="21"/>
          <w:highlight w:val="none"/>
        </w:rPr>
        <w:t>人力资源保障管理信息系统信息结构通则（试行）人社信息函〔2010〕55号</w:t>
      </w:r>
    </w:p>
    <w:p w14:paraId="1597AC8E">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3）</w:t>
      </w:r>
      <w:r>
        <w:rPr>
          <w:rFonts w:ascii="黑体" w:hAnsi="黑体" w:eastAsia="黑体"/>
          <w:bCs/>
          <w:color w:val="auto"/>
          <w:szCs w:val="21"/>
          <w:highlight w:val="none"/>
        </w:rPr>
        <w:t>《社会保障卡加载金融功能通用规范》</w:t>
      </w:r>
    </w:p>
    <w:p w14:paraId="2CF4B9FA">
      <w:pPr>
        <w:pStyle w:val="14"/>
        <w:tabs>
          <w:tab w:val="left" w:pos="426"/>
        </w:tabs>
        <w:spacing w:line="360" w:lineRule="auto"/>
        <w:ind w:left="105" w:leftChars="50" w:firstLine="315" w:firstLineChars="150"/>
        <w:rPr>
          <w:rFonts w:ascii="黑体" w:hAnsi="黑体" w:eastAsia="黑体"/>
          <w:color w:val="auto"/>
          <w:highlight w:val="none"/>
        </w:rPr>
      </w:pPr>
      <w:r>
        <w:rPr>
          <w:rFonts w:hint="eastAsia" w:ascii="黑体" w:hAnsi="黑体" w:eastAsia="黑体"/>
          <w:bCs/>
          <w:color w:val="auto"/>
          <w:szCs w:val="21"/>
          <w:highlight w:val="none"/>
        </w:rPr>
        <w:t>4）</w:t>
      </w:r>
      <w:r>
        <w:rPr>
          <w:rFonts w:ascii="黑体" w:hAnsi="黑体" w:eastAsia="黑体"/>
          <w:bCs/>
          <w:color w:val="auto"/>
          <w:szCs w:val="21"/>
          <w:highlight w:val="none"/>
        </w:rPr>
        <w:t>《社会保障卡加载金融功能全业务终端规范》</w:t>
      </w:r>
    </w:p>
    <w:p w14:paraId="7287FDA2">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（2）终端外型和应用功能要求</w:t>
      </w:r>
    </w:p>
    <w:p w14:paraId="5B7DF2E7">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具备防火、防盗、防尘、防淋、防震、防爆等要求，保证人身安全；装载社保卡自助终端的框架和机柜应有一定的刚度和强度，以防止由于空间变动、部件变松或移位造成的终端内零部件全部或部分损坏，并应防止和减少部件发生电击和人身伤害的可能性；终端配置的密封装置及门锁应耐久、安全、可靠，对异常情况有报警及日志记录功能。可实现本机定时开关机及远程控制开关机；可实现非法开门报警功能，用整机电控门禁程序进行控制，实现无钥匙管理。可实现整机监控功能，定期对设备硬件进行扫描及自检；可实现人脸识别及刷脸付功能。满足功能配置灵活、操作流程简便实用、应用和部署范围逐步扩展的实际需要，实现有效控制整体建设和运行成本。按照“标准化、开放性、可扩展、易操作、灵活性”的原则设计，即依据总体设计要求，遵循统一技术标准和数据接口规范，在已实现业务系统上，通过开放相关业务应用功能提供自助服务。</w:t>
      </w:r>
    </w:p>
    <w:p w14:paraId="2FB95663">
      <w:pPr>
        <w:pStyle w:val="14"/>
        <w:tabs>
          <w:tab w:val="left" w:pos="426"/>
        </w:tabs>
        <w:spacing w:line="360" w:lineRule="auto"/>
        <w:ind w:left="420" w:firstLine="0" w:firstLineChars="0"/>
        <w:rPr>
          <w:rFonts w:ascii="黑体" w:hAnsi="黑体" w:eastAsia="黑体"/>
          <w:color w:val="auto"/>
          <w:highlight w:val="none"/>
        </w:rPr>
      </w:pPr>
      <w:r>
        <w:rPr>
          <w:rFonts w:hint="eastAsia" w:ascii="黑体" w:hAnsi="黑体" w:eastAsia="黑体"/>
          <w:color w:val="auto"/>
          <w:highlight w:val="none"/>
        </w:rPr>
        <w:t>1）</w:t>
      </w:r>
      <w:r>
        <w:rPr>
          <w:rFonts w:hint="eastAsia" w:ascii="黑体" w:hAnsi="黑体" w:eastAsia="黑体"/>
          <w:bCs/>
          <w:color w:val="auto"/>
          <w:szCs w:val="21"/>
          <w:highlight w:val="none"/>
        </w:rPr>
        <w:t>标准化原则：确保界面交互的标准化和数据接口的规范化，提高交互效率。</w:t>
      </w:r>
    </w:p>
    <w:p w14:paraId="243488D4">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color w:val="auto"/>
          <w:highlight w:val="none"/>
        </w:rPr>
        <w:t>2）</w:t>
      </w:r>
      <w:r>
        <w:rPr>
          <w:rFonts w:hint="eastAsia" w:ascii="黑体" w:hAnsi="黑体" w:eastAsia="黑体"/>
          <w:bCs/>
          <w:color w:val="auto"/>
          <w:szCs w:val="21"/>
          <w:highlight w:val="none"/>
        </w:rPr>
        <w:t>开放性原则：通过数据的开放提供业务应用服务，并支持第三方服务的接入。</w:t>
      </w:r>
    </w:p>
    <w:p w14:paraId="266BD2CB">
      <w:pPr>
        <w:pStyle w:val="14"/>
        <w:tabs>
          <w:tab w:val="left" w:pos="426"/>
        </w:tabs>
        <w:spacing w:line="360" w:lineRule="auto"/>
        <w:ind w:left="105" w:leftChars="50" w:firstLine="105" w:firstLineChars="50"/>
        <w:rPr>
          <w:rFonts w:ascii="黑体" w:hAnsi="黑体" w:eastAsia="黑体"/>
          <w:color w:val="auto"/>
          <w:highlight w:val="none"/>
        </w:rPr>
      </w:pPr>
      <w:r>
        <w:rPr>
          <w:rFonts w:hint="eastAsia" w:ascii="黑体" w:hAnsi="黑体" w:eastAsia="黑体"/>
          <w:bCs/>
          <w:color w:val="auto"/>
          <w:szCs w:val="21"/>
          <w:highlight w:val="none"/>
        </w:rPr>
        <w:t>可扩展性原则：满足可扩展性原则，支持社保服务和银行金融服务的无缝集成。</w:t>
      </w:r>
    </w:p>
    <w:p w14:paraId="09B1AC00">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3）易用性原则：结合触摸屏和系统提供的输入软件，支持手写输入、键盘输入，可方便采集所需信息。</w:t>
      </w:r>
    </w:p>
    <w:p w14:paraId="285F190E">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4）可靠性原则：自助终端、读卡器、摄像头、经人民银行认证通过的密码输入键盘于一体，可在有效保证用户隐私安全的前提下正确识别用户身份。</w:t>
      </w:r>
    </w:p>
    <w:p w14:paraId="12CC4A84">
      <w:pPr>
        <w:pStyle w:val="14"/>
        <w:tabs>
          <w:tab w:val="left" w:pos="426"/>
        </w:tabs>
        <w:spacing w:line="360" w:lineRule="auto"/>
        <w:ind w:firstLineChars="0"/>
        <w:rPr>
          <w:rFonts w:ascii="黑体" w:hAnsi="黑体" w:eastAsia="黑体"/>
          <w:color w:val="auto"/>
          <w:highlight w:val="none"/>
        </w:rPr>
      </w:pPr>
      <w:r>
        <w:rPr>
          <w:rFonts w:hint="eastAsia" w:ascii="黑体" w:hAnsi="黑体" w:eastAsia="黑体"/>
          <w:bCs/>
          <w:color w:val="auto"/>
          <w:szCs w:val="21"/>
          <w:highlight w:val="none"/>
        </w:rPr>
        <w:t>5）灵活性原则：通过应用服务实现对自助服务事项的灵活配置管理。</w:t>
      </w:r>
    </w:p>
    <w:p w14:paraId="6E06A81F">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（3）终端模块需求</w:t>
      </w:r>
    </w:p>
    <w:p w14:paraId="582C6030">
      <w:pPr>
        <w:tabs>
          <w:tab w:val="left" w:pos="426"/>
        </w:tabs>
        <w:spacing w:line="360" w:lineRule="auto"/>
        <w:ind w:firstLine="420" w:firstLineChars="200"/>
        <w:rPr>
          <w:rFonts w:ascii="黑体" w:hAnsi="黑体" w:eastAsia="黑体"/>
          <w:bCs/>
          <w:color w:val="auto"/>
          <w:szCs w:val="21"/>
          <w:highlight w:val="none"/>
        </w:rPr>
      </w:pPr>
      <w:r>
        <w:rPr>
          <w:rFonts w:ascii="黑体" w:hAnsi="黑体" w:eastAsia="黑体"/>
          <w:bCs/>
          <w:color w:val="auto"/>
          <w:szCs w:val="21"/>
          <w:highlight w:val="none"/>
        </w:rPr>
        <w:t>社区诊疗一卡通终端的必备模块：显示模块、电源模块、通讯模块、卡处理模块、客户输入模块、数据安全模块（包括硬件加密模块）等。社区诊疗一卡通终端也可以根据需要配置其他模块，如：二维码扫描仪、条码阅读机、音响模块等。</w:t>
      </w:r>
    </w:p>
    <w:p w14:paraId="7673BADF">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4、终端配置指标参数</w:t>
      </w:r>
    </w:p>
    <w:p w14:paraId="195A0BF7">
      <w:pPr>
        <w:pStyle w:val="15"/>
        <w:spacing w:line="360" w:lineRule="auto"/>
        <w:ind w:firstLine="411" w:firstLineChars="196"/>
        <w:rPr>
          <w:rFonts w:ascii="黑体" w:hAnsi="黑体" w:eastAsia="黑体" w:cs="黑体"/>
          <w:color w:val="auto"/>
          <w:highlight w:val="none"/>
        </w:rPr>
      </w:pPr>
      <w:r>
        <w:rPr>
          <w:rFonts w:hint="eastAsia" w:ascii="黑体" w:hAnsi="黑体" w:eastAsia="黑体" w:cs="黑体"/>
          <w:color w:val="auto"/>
          <w:highlight w:val="none"/>
        </w:rPr>
        <w:t>在对现有社区诊疗一卡通服务平台、社区诊疗一卡通运维和管理服务平台、社区诊疗一卡通支付和对账平台做信息技术应用创新升级之后，</w:t>
      </w:r>
      <w:r>
        <w:rPr>
          <w:rFonts w:hint="eastAsia" w:ascii="黑体" w:hAnsi="黑体" w:eastAsia="黑体"/>
          <w:color w:val="auto"/>
          <w:highlight w:val="none"/>
        </w:rPr>
        <w:t>中标人所提供的</w:t>
      </w:r>
      <w:r>
        <w:rPr>
          <w:rFonts w:hint="eastAsia" w:ascii="黑体" w:hAnsi="黑体" w:eastAsia="黑体" w:cs="黑体"/>
          <w:color w:val="auto"/>
          <w:highlight w:val="none"/>
        </w:rPr>
        <w:t>终端配置应至少满足</w:t>
      </w:r>
      <w:r>
        <w:rPr>
          <w:rFonts w:hint="eastAsia" w:ascii="黑体" w:hAnsi="黑体" w:eastAsia="黑体"/>
          <w:color w:val="auto"/>
          <w:highlight w:val="none"/>
        </w:rPr>
        <w:t>或优于</w:t>
      </w:r>
      <w:r>
        <w:rPr>
          <w:rFonts w:hint="eastAsia" w:ascii="黑体" w:hAnsi="黑体" w:eastAsia="黑体" w:cs="黑体"/>
          <w:color w:val="auto"/>
          <w:highlight w:val="none"/>
        </w:rPr>
        <w:t>以下要求：</w:t>
      </w:r>
    </w:p>
    <w:p w14:paraId="0A433B1D">
      <w:pPr>
        <w:pStyle w:val="14"/>
        <w:tabs>
          <w:tab w:val="left" w:pos="426"/>
        </w:tabs>
        <w:spacing w:line="360" w:lineRule="auto"/>
        <w:rPr>
          <w:rFonts w:ascii="黑体" w:hAnsi="黑体" w:eastAsia="黑体"/>
          <w:color w:val="auto"/>
          <w:szCs w:val="21"/>
          <w:highlight w:val="none"/>
        </w:rPr>
      </w:pPr>
      <w:bookmarkStart w:id="11" w:name="OLE_LINK13"/>
      <w:r>
        <w:rPr>
          <w:rFonts w:hint="eastAsia" w:ascii="黑体" w:hAnsi="黑体" w:eastAsia="黑体"/>
          <w:color w:val="auto"/>
          <w:szCs w:val="21"/>
          <w:highlight w:val="none"/>
        </w:rPr>
        <w:t>（1）社区诊疗一卡通终端（壁挂式）硬件参数最低指标：</w:t>
      </w:r>
    </w:p>
    <w:bookmarkEnd w:id="11"/>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26"/>
      </w:tblGrid>
      <w:tr w14:paraId="7B6E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95" w:type="pct"/>
            <w:vAlign w:val="center"/>
          </w:tcPr>
          <w:p w14:paraId="6888D06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功能模块</w:t>
            </w:r>
          </w:p>
        </w:tc>
        <w:tc>
          <w:tcPr>
            <w:tcW w:w="4005" w:type="pct"/>
            <w:vAlign w:val="center"/>
          </w:tcPr>
          <w:p w14:paraId="13CBC41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技术参数</w:t>
            </w:r>
          </w:p>
        </w:tc>
      </w:tr>
      <w:tr w14:paraId="7C2C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95" w:type="pct"/>
            <w:vAlign w:val="center"/>
          </w:tcPr>
          <w:p w14:paraId="78C7028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外观</w:t>
            </w:r>
          </w:p>
        </w:tc>
        <w:tc>
          <w:tcPr>
            <w:tcW w:w="4005" w:type="pct"/>
            <w:vAlign w:val="center"/>
          </w:tcPr>
          <w:p w14:paraId="2427DD7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体现东莞市人力资源和社会保障局LOGO，体现社保卡自助终端的字样或标示，LOGO样式。</w:t>
            </w:r>
          </w:p>
        </w:tc>
      </w:tr>
      <w:tr w14:paraId="2289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95" w:type="pct"/>
            <w:vAlign w:val="center"/>
          </w:tcPr>
          <w:p w14:paraId="10FCC7F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屏幕</w:t>
            </w:r>
          </w:p>
        </w:tc>
        <w:tc>
          <w:tcPr>
            <w:tcW w:w="4005" w:type="pct"/>
            <w:vAlign w:val="center"/>
          </w:tcPr>
          <w:p w14:paraId="1A94DF2C">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15.6寸或以上，1920×1080以上分辨率液晶触摸屏，支持多点触摸。</w:t>
            </w:r>
          </w:p>
        </w:tc>
      </w:tr>
      <w:tr w14:paraId="285F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5" w:type="pct"/>
            <w:vAlign w:val="center"/>
          </w:tcPr>
          <w:p w14:paraId="208404E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工控主机</w:t>
            </w:r>
          </w:p>
        </w:tc>
        <w:tc>
          <w:tcPr>
            <w:tcW w:w="4005" w:type="pct"/>
            <w:vAlign w:val="center"/>
          </w:tcPr>
          <w:p w14:paraId="1C428EE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处理器：采用国产化CPU，八核或以上处理器，主频≥2.3GHz；</w:t>
            </w:r>
          </w:p>
          <w:p w14:paraId="04394AE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内存：16G或以上；</w:t>
            </w:r>
          </w:p>
          <w:p w14:paraId="5E57070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硬盘：256G固态或500G机械硬盘及以上；</w:t>
            </w:r>
          </w:p>
          <w:p w14:paraId="72550E0E">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预装正版授权的国产化操作系统。</w:t>
            </w:r>
          </w:p>
        </w:tc>
      </w:tr>
      <w:tr w14:paraId="58DD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95" w:type="pct"/>
            <w:vAlign w:val="center"/>
          </w:tcPr>
          <w:p w14:paraId="428CDE50">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密码键盘</w:t>
            </w:r>
          </w:p>
        </w:tc>
        <w:tc>
          <w:tcPr>
            <w:tcW w:w="4005" w:type="pct"/>
            <w:vAlign w:val="center"/>
          </w:tcPr>
          <w:p w14:paraId="6E02BBEC">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EPP硬件加密键盘；</w:t>
            </w:r>
          </w:p>
          <w:p w14:paraId="6144D42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通过银联认证和国密认证；</w:t>
            </w:r>
          </w:p>
          <w:p w14:paraId="4ED09D9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支持DES，3DES算法，支持国密、ATM协议；</w:t>
            </w:r>
          </w:p>
          <w:p w14:paraId="448CFDF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使用3DES加密算法加密2048字节的运算时间小于2秒；</w:t>
            </w:r>
          </w:p>
          <w:p w14:paraId="2166D54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软件：支持最新Triple DES算法,可以支持ANSI 、ECB等标准；</w:t>
            </w:r>
          </w:p>
          <w:p w14:paraId="12295CA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密钥管理：可存储16组64位的密钥，只能写入不能读出，加密后如拆离键盘，必须自动启动密钥自毁功能；</w:t>
            </w:r>
          </w:p>
          <w:p w14:paraId="0DA0EBC9">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键数：16键金属键盘，10个数字键，6个功能键；</w:t>
            </w:r>
          </w:p>
          <w:p w14:paraId="205B411D">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整体设计可实现防尘，防水，防暴；</w:t>
            </w:r>
          </w:p>
          <w:p w14:paraId="2E593E1D">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加装密码键盘防护罩；</w:t>
            </w:r>
          </w:p>
        </w:tc>
      </w:tr>
      <w:tr w14:paraId="6692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pct"/>
            <w:vAlign w:val="center"/>
          </w:tcPr>
          <w:p w14:paraId="36DFE72A">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多合一读卡模块</w:t>
            </w:r>
          </w:p>
        </w:tc>
        <w:tc>
          <w:tcPr>
            <w:tcW w:w="4005" w:type="pct"/>
            <w:vAlign w:val="center"/>
          </w:tcPr>
          <w:p w14:paraId="1D72FCE0">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通讯接口：支持USB/RS232串口通讯；</w:t>
            </w:r>
          </w:p>
          <w:p w14:paraId="4F1A76DE">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非接触式模块：</w:t>
            </w:r>
          </w:p>
          <w:p w14:paraId="67EC2E8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符合ISO14443 TypeA&amp;B 的非接触CPU 卡，S50，S70卡，可选居民身份证读取；</w:t>
            </w:r>
          </w:p>
          <w:p w14:paraId="7E4D0F8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符合GB9254、GB/T17618、GB/T17626等标准；</w:t>
            </w:r>
          </w:p>
          <w:p w14:paraId="69D7299C">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接触式模块：</w:t>
            </w:r>
          </w:p>
          <w:p w14:paraId="0988C56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符合ISO7816标准的A类5V/B类3V卡，SLE4428，SLE4442；</w:t>
            </w:r>
          </w:p>
          <w:p w14:paraId="06FB0A1D">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支持卡到位状态检测，支持短路保护；</w:t>
            </w:r>
          </w:p>
          <w:p w14:paraId="79E18D6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磁条卡：</w:t>
            </w:r>
          </w:p>
          <w:p w14:paraId="45F5ADA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支持符合DIN／ISO、ANSI、ISO7810/7811/7813标准的磁条卡和存折读取；</w:t>
            </w:r>
          </w:p>
          <w:p w14:paraId="3DEE17C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支持1、2、3磁道读取；</w:t>
            </w:r>
          </w:p>
          <w:p w14:paraId="5E704EC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SAM卡座：4个，符合ISO7816标准的PSAM卡；</w:t>
            </w:r>
          </w:p>
        </w:tc>
      </w:tr>
      <w:tr w14:paraId="1B4B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5" w:type="pct"/>
            <w:vAlign w:val="center"/>
          </w:tcPr>
          <w:p w14:paraId="663105F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条码扫描模块</w:t>
            </w:r>
          </w:p>
        </w:tc>
        <w:tc>
          <w:tcPr>
            <w:tcW w:w="4005" w:type="pct"/>
            <w:vAlign w:val="center"/>
          </w:tcPr>
          <w:p w14:paraId="40A6022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像素：640x480；</w:t>
            </w:r>
          </w:p>
          <w:p w14:paraId="2AF59D1A">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光源：白光；</w:t>
            </w:r>
          </w:p>
          <w:p w14:paraId="13D4603C">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指示：蜂鸣器 指示灯；</w:t>
            </w:r>
          </w:p>
          <w:p w14:paraId="647C353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扫描类型：影像式；</w:t>
            </w:r>
          </w:p>
          <w:p w14:paraId="3A96C9E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最小识别精度：≥5mil；</w:t>
            </w:r>
          </w:p>
        </w:tc>
      </w:tr>
      <w:tr w14:paraId="48D5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5" w:type="pct"/>
            <w:vAlign w:val="center"/>
          </w:tcPr>
          <w:p w14:paraId="3E3DBB2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二代身份证阅读器</w:t>
            </w:r>
          </w:p>
        </w:tc>
        <w:tc>
          <w:tcPr>
            <w:tcW w:w="4005" w:type="pct"/>
            <w:vAlign w:val="center"/>
          </w:tcPr>
          <w:p w14:paraId="0279C7CE">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支付符合Type A和Type B规范的非接触卡；</w:t>
            </w:r>
          </w:p>
          <w:p w14:paraId="6A9FE64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通过公安部认证许可，符合中国第二代身份证阅读设备标准；</w:t>
            </w:r>
          </w:p>
          <w:p w14:paraId="1AD219C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读卡距离&gt;5CM、读卡速度≤1.5秒；</w:t>
            </w:r>
          </w:p>
        </w:tc>
      </w:tr>
      <w:tr w14:paraId="6672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pct"/>
            <w:vAlign w:val="center"/>
          </w:tcPr>
          <w:p w14:paraId="571E44A9">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网络传输</w:t>
            </w:r>
          </w:p>
        </w:tc>
        <w:tc>
          <w:tcPr>
            <w:tcW w:w="4005" w:type="pct"/>
            <w:vAlign w:val="center"/>
          </w:tcPr>
          <w:p w14:paraId="634BE2B4">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支持以太网等多种数据传输方式。</w:t>
            </w:r>
          </w:p>
        </w:tc>
      </w:tr>
      <w:tr w14:paraId="49C5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pct"/>
            <w:vAlign w:val="center"/>
          </w:tcPr>
          <w:p w14:paraId="65A9BC1A">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工作环境</w:t>
            </w:r>
          </w:p>
        </w:tc>
        <w:tc>
          <w:tcPr>
            <w:tcW w:w="4005" w:type="pct"/>
            <w:vAlign w:val="center"/>
          </w:tcPr>
          <w:p w14:paraId="7CE0527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温度：0°C～40°C，湿度：20%～80%。</w:t>
            </w:r>
          </w:p>
        </w:tc>
      </w:tr>
      <w:tr w14:paraId="4AA3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5" w:type="pct"/>
            <w:vAlign w:val="center"/>
          </w:tcPr>
          <w:p w14:paraId="446219C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安全认证</w:t>
            </w:r>
          </w:p>
        </w:tc>
        <w:tc>
          <w:tcPr>
            <w:tcW w:w="4005" w:type="pct"/>
            <w:vAlign w:val="center"/>
          </w:tcPr>
          <w:p w14:paraId="78C3F8B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符合3C认证标准。</w:t>
            </w:r>
          </w:p>
        </w:tc>
      </w:tr>
    </w:tbl>
    <w:p w14:paraId="78D7860B">
      <w:pPr>
        <w:pStyle w:val="14"/>
        <w:tabs>
          <w:tab w:val="left" w:pos="426"/>
        </w:tabs>
        <w:spacing w:line="360" w:lineRule="auto"/>
        <w:ind w:firstLine="0" w:firstLineChars="0"/>
        <w:rPr>
          <w:rFonts w:ascii="黑体" w:hAnsi="黑体" w:eastAsia="黑体"/>
          <w:color w:val="auto"/>
          <w:szCs w:val="21"/>
          <w:highlight w:val="none"/>
        </w:rPr>
      </w:pPr>
    </w:p>
    <w:p w14:paraId="78B61A5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（2）社区诊疗一卡通终端（柜式）硬件参数最低指标：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6640"/>
      </w:tblGrid>
      <w:tr w14:paraId="5D16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4" w:type="pct"/>
            <w:vAlign w:val="center"/>
          </w:tcPr>
          <w:p w14:paraId="0F62BC9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功能模块</w:t>
            </w:r>
          </w:p>
        </w:tc>
        <w:tc>
          <w:tcPr>
            <w:tcW w:w="3896" w:type="pct"/>
            <w:vAlign w:val="center"/>
          </w:tcPr>
          <w:p w14:paraId="454B49C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技术参数</w:t>
            </w:r>
          </w:p>
        </w:tc>
      </w:tr>
      <w:tr w14:paraId="3971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04" w:type="pct"/>
            <w:vAlign w:val="center"/>
          </w:tcPr>
          <w:p w14:paraId="20358EB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机柜</w:t>
            </w:r>
          </w:p>
        </w:tc>
        <w:tc>
          <w:tcPr>
            <w:tcW w:w="3896" w:type="pct"/>
            <w:vAlign w:val="center"/>
          </w:tcPr>
          <w:p w14:paraId="09FF034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冷轧钢板金属机柜，适合在公众场合使用，符合政府单位形象要求；</w:t>
            </w:r>
          </w:p>
          <w:p w14:paraId="45D2842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电压：AC220V±10% 50Hz±1Hz。</w:t>
            </w:r>
          </w:p>
        </w:tc>
      </w:tr>
      <w:tr w14:paraId="1C2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4" w:type="pct"/>
            <w:vAlign w:val="center"/>
          </w:tcPr>
          <w:p w14:paraId="0AA73B80">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外观</w:t>
            </w:r>
          </w:p>
        </w:tc>
        <w:tc>
          <w:tcPr>
            <w:tcW w:w="3896" w:type="pct"/>
            <w:vAlign w:val="center"/>
          </w:tcPr>
          <w:p w14:paraId="61746B5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体现东莞市人力资源和社会保障局LOGO，体现社保卡自助终端的字样或标示。</w:t>
            </w:r>
          </w:p>
        </w:tc>
      </w:tr>
      <w:tr w14:paraId="614C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04" w:type="pct"/>
            <w:vAlign w:val="center"/>
          </w:tcPr>
          <w:p w14:paraId="6EE9DD3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工控主机</w:t>
            </w:r>
          </w:p>
        </w:tc>
        <w:tc>
          <w:tcPr>
            <w:tcW w:w="3896" w:type="pct"/>
            <w:vAlign w:val="center"/>
          </w:tcPr>
          <w:p w14:paraId="54B7811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处理器：采用国产化CPU，八核或以上处理器，主频≥2.3GHz；</w:t>
            </w:r>
          </w:p>
          <w:p w14:paraId="1D88B9D9">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内存：8G或以上；</w:t>
            </w:r>
          </w:p>
          <w:p w14:paraId="62DC5794">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硬盘：256G固态或500G机械硬盘及以上；</w:t>
            </w:r>
          </w:p>
          <w:p w14:paraId="42B030B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预装正版授权的国产化操作系统；</w:t>
            </w:r>
          </w:p>
        </w:tc>
      </w:tr>
      <w:tr w14:paraId="316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04" w:type="pct"/>
            <w:vAlign w:val="center"/>
          </w:tcPr>
          <w:p w14:paraId="49852C94">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触显一体屏</w:t>
            </w:r>
          </w:p>
        </w:tc>
        <w:tc>
          <w:tcPr>
            <w:tcW w:w="3896" w:type="pct"/>
            <w:vAlign w:val="center"/>
          </w:tcPr>
          <w:p w14:paraId="79398D6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尺寸/类型：≥32寸电容触显屏；</w:t>
            </w:r>
          </w:p>
          <w:p w14:paraId="37A9BE5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分辨率(像素)：1920*1080；</w:t>
            </w:r>
          </w:p>
          <w:p w14:paraId="76D5664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亮度：350cd/m²；对比度：1200:1；</w:t>
            </w:r>
          </w:p>
          <w:p w14:paraId="41519DA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色值：16.7M；</w:t>
            </w:r>
          </w:p>
          <w:p w14:paraId="57530559">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可视角度(U/D/L/R)：89/89/89/89；</w:t>
            </w:r>
          </w:p>
          <w:p w14:paraId="31FFDFC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响应时间：8ms；背灯MTBF：30000；</w:t>
            </w:r>
          </w:p>
          <w:p w14:paraId="65E18DDD">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支持触摸点数：10点；</w:t>
            </w:r>
          </w:p>
        </w:tc>
      </w:tr>
      <w:tr w14:paraId="15F8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04" w:type="pct"/>
            <w:vAlign w:val="center"/>
          </w:tcPr>
          <w:p w14:paraId="510B486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密码键盘</w:t>
            </w:r>
          </w:p>
        </w:tc>
        <w:tc>
          <w:tcPr>
            <w:tcW w:w="3896" w:type="pct"/>
            <w:vAlign w:val="center"/>
          </w:tcPr>
          <w:p w14:paraId="02C499F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EPP硬件加密键盘；</w:t>
            </w:r>
          </w:p>
          <w:p w14:paraId="60C4B8D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通过银联认证和国密认证；</w:t>
            </w:r>
          </w:p>
          <w:p w14:paraId="365BC77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支持DES，3DES算法，支持国密、ATM协议；</w:t>
            </w:r>
          </w:p>
          <w:p w14:paraId="026F1F0E">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使用3DES加密算法加密2048字节的运算时间小于2秒；</w:t>
            </w:r>
          </w:p>
          <w:p w14:paraId="20BDF45A">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软件：支持最新Triple DES算法,可以支持ANSI 、ECB等标准；</w:t>
            </w:r>
          </w:p>
          <w:p w14:paraId="6B1A5B70">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密钥管理：可存储16组64位的密钥，只能写入不能读出，加密后如拆离键盘，必须自动启动密钥自毁功能；</w:t>
            </w:r>
          </w:p>
          <w:p w14:paraId="1EBFFCE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键数：16键金属键盘，10个数字键，6个功能键；</w:t>
            </w:r>
          </w:p>
          <w:p w14:paraId="59D9AEEE">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整体设计可实现防尘，防水，防暴；</w:t>
            </w:r>
          </w:p>
          <w:p w14:paraId="1A77C3B5">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加装密码键盘防护罩；</w:t>
            </w:r>
          </w:p>
        </w:tc>
      </w:tr>
      <w:tr w14:paraId="32A4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104" w:type="pct"/>
            <w:vAlign w:val="center"/>
          </w:tcPr>
          <w:p w14:paraId="19F5E902">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三合一电动读卡器</w:t>
            </w:r>
          </w:p>
        </w:tc>
        <w:tc>
          <w:tcPr>
            <w:tcW w:w="3896" w:type="pct"/>
            <w:vAlign w:val="center"/>
          </w:tcPr>
          <w:p w14:paraId="28253D3A">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三卡合一：磁卡读、IC卡读写、非接IC卡读写；</w:t>
            </w:r>
          </w:p>
          <w:p w14:paraId="47F50AF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支持电动吸卡吐卡，带后端吞卡功能，受控进、退、吞卡的功能；</w:t>
            </w:r>
          </w:p>
          <w:p w14:paraId="0116E10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通过CE、EMC、PBOC3.0、EMV4.1认证；</w:t>
            </w:r>
          </w:p>
          <w:p w14:paraId="09F0CA7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卡机寿命：≥100万次；</w:t>
            </w:r>
          </w:p>
          <w:p w14:paraId="695F49A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具有容错和特殊维护处理的功能：异常卡处理、掉电处理等；</w:t>
            </w:r>
          </w:p>
          <w:p w14:paraId="07A35853">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通信接口RS-232；</w:t>
            </w:r>
          </w:p>
        </w:tc>
      </w:tr>
      <w:tr w14:paraId="5391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104" w:type="pct"/>
            <w:vAlign w:val="center"/>
          </w:tcPr>
          <w:p w14:paraId="3F73A664">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二代身份证阅读器</w:t>
            </w:r>
          </w:p>
        </w:tc>
        <w:tc>
          <w:tcPr>
            <w:tcW w:w="3896" w:type="pct"/>
            <w:vAlign w:val="center"/>
          </w:tcPr>
          <w:p w14:paraId="769163EC">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射频技术：符合ISO14443 Type B标准；</w:t>
            </w:r>
          </w:p>
          <w:p w14:paraId="162CF77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保密模块：身份证核验系统专用模块；</w:t>
            </w:r>
          </w:p>
          <w:p w14:paraId="1A29C2D9">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读卡距离：0-50mm；</w:t>
            </w:r>
          </w:p>
          <w:p w14:paraId="59E2F14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读卡时间：1.0s；</w:t>
            </w:r>
          </w:p>
          <w:p w14:paraId="1195AAC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通讯接口：USB通讯接口；</w:t>
            </w:r>
          </w:p>
          <w:p w14:paraId="32215174">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通过公安部认证；</w:t>
            </w:r>
          </w:p>
        </w:tc>
      </w:tr>
      <w:tr w14:paraId="39DF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104" w:type="pct"/>
            <w:vAlign w:val="center"/>
          </w:tcPr>
          <w:p w14:paraId="338036D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条码扫描模块</w:t>
            </w:r>
          </w:p>
        </w:tc>
        <w:tc>
          <w:tcPr>
            <w:tcW w:w="3896" w:type="pct"/>
            <w:vAlign w:val="center"/>
          </w:tcPr>
          <w:p w14:paraId="0A1E4A5F">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像素：640x480；</w:t>
            </w:r>
          </w:p>
          <w:p w14:paraId="23BBBF3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光源：白光；</w:t>
            </w:r>
          </w:p>
          <w:p w14:paraId="1D02676B">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指示：蜂鸣器 指示灯；</w:t>
            </w:r>
          </w:p>
          <w:p w14:paraId="43798521">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扫描类型：影像式；</w:t>
            </w:r>
          </w:p>
          <w:p w14:paraId="0C8E3BC8">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最小识别精度：≥5mil；</w:t>
            </w:r>
          </w:p>
        </w:tc>
      </w:tr>
      <w:tr w14:paraId="5C61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104" w:type="pct"/>
            <w:vAlign w:val="center"/>
          </w:tcPr>
          <w:p w14:paraId="0D293D1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扩展功能</w:t>
            </w:r>
          </w:p>
        </w:tc>
        <w:tc>
          <w:tcPr>
            <w:tcW w:w="3896" w:type="pct"/>
            <w:vAlign w:val="center"/>
          </w:tcPr>
          <w:p w14:paraId="13516387">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内置PSAM卡槽2个或以上；</w:t>
            </w:r>
          </w:p>
        </w:tc>
      </w:tr>
      <w:tr w14:paraId="3B3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04" w:type="pct"/>
            <w:vAlign w:val="center"/>
          </w:tcPr>
          <w:p w14:paraId="483806D6">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安全认证</w:t>
            </w:r>
          </w:p>
        </w:tc>
        <w:tc>
          <w:tcPr>
            <w:tcW w:w="3896" w:type="pct"/>
            <w:vAlign w:val="center"/>
          </w:tcPr>
          <w:p w14:paraId="609E6BFD">
            <w:pPr>
              <w:pStyle w:val="14"/>
              <w:tabs>
                <w:tab w:val="left" w:pos="426"/>
              </w:tabs>
              <w:spacing w:line="360" w:lineRule="auto"/>
              <w:ind w:firstLine="0" w:firstLineChars="0"/>
              <w:rPr>
                <w:rFonts w:ascii="黑体" w:hAnsi="黑体" w:eastAsia="黑体"/>
                <w:color w:val="auto"/>
                <w:szCs w:val="21"/>
                <w:highlight w:val="none"/>
              </w:rPr>
            </w:pPr>
            <w:r>
              <w:rPr>
                <w:rFonts w:hint="eastAsia" w:ascii="黑体" w:hAnsi="黑体" w:eastAsia="黑体"/>
                <w:color w:val="auto"/>
                <w:szCs w:val="21"/>
                <w:highlight w:val="none"/>
              </w:rPr>
              <w:t>符合3C认证标准。</w:t>
            </w:r>
          </w:p>
        </w:tc>
      </w:tr>
    </w:tbl>
    <w:p w14:paraId="45972D68">
      <w:pPr>
        <w:pStyle w:val="14"/>
        <w:tabs>
          <w:tab w:val="left" w:pos="426"/>
        </w:tabs>
        <w:spacing w:line="360" w:lineRule="auto"/>
        <w:ind w:firstLine="0" w:firstLineChars="0"/>
        <w:rPr>
          <w:rFonts w:ascii="黑体" w:hAnsi="黑体" w:eastAsia="黑体"/>
          <w:color w:val="auto"/>
          <w:szCs w:val="21"/>
          <w:highlight w:val="none"/>
        </w:rPr>
      </w:pPr>
    </w:p>
    <w:p w14:paraId="47C3F379">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5、终端安装方案</w:t>
      </w:r>
    </w:p>
    <w:p w14:paraId="22C3A5DC">
      <w:pPr>
        <w:pStyle w:val="14"/>
        <w:tabs>
          <w:tab w:val="left" w:pos="426"/>
        </w:tabs>
        <w:spacing w:line="360" w:lineRule="auto"/>
        <w:rPr>
          <w:rFonts w:ascii="黑体" w:hAnsi="黑体" w:eastAsia="黑体" w:cs="黑体"/>
          <w:color w:val="auto"/>
          <w:highlight w:val="none"/>
        </w:rPr>
      </w:pPr>
      <w:r>
        <w:rPr>
          <w:rFonts w:hint="eastAsia" w:ascii="黑体" w:hAnsi="黑体" w:eastAsia="黑体" w:cs="黑体"/>
          <w:bCs/>
          <w:color w:val="auto"/>
          <w:szCs w:val="21"/>
          <w:highlight w:val="none"/>
        </w:rPr>
        <w:t>（1）按采购人要求时间点完成设备到货，安装调试工作。</w:t>
      </w:r>
    </w:p>
    <w:p w14:paraId="197B9387">
      <w:pPr>
        <w:pStyle w:val="14"/>
        <w:tabs>
          <w:tab w:val="left" w:pos="426"/>
        </w:tabs>
        <w:spacing w:line="360" w:lineRule="auto"/>
        <w:rPr>
          <w:rFonts w:ascii="黑体" w:hAnsi="黑体" w:eastAsia="黑体" w:cs="黑体"/>
          <w:color w:val="auto"/>
          <w:highlight w:val="none"/>
        </w:rPr>
      </w:pPr>
      <w:r>
        <w:rPr>
          <w:rFonts w:hint="eastAsia" w:ascii="黑体" w:hAnsi="黑体" w:eastAsia="黑体" w:cs="黑体"/>
          <w:bCs/>
          <w:color w:val="auto"/>
          <w:szCs w:val="21"/>
          <w:highlight w:val="none"/>
        </w:rPr>
        <w:t>（2）按采购人要求完成终端软件系统调试工作。</w:t>
      </w:r>
    </w:p>
    <w:p w14:paraId="6B6C5830">
      <w:pPr>
        <w:pStyle w:val="14"/>
        <w:tabs>
          <w:tab w:val="left" w:pos="426"/>
        </w:tabs>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（3）终端安装后中标人对投放的设备要充分测试，确保投放设备系统配置、网络参数和交易功能均可正常使用。</w:t>
      </w:r>
    </w:p>
    <w:p w14:paraId="21D00EAB">
      <w:pPr>
        <w:pStyle w:val="14"/>
        <w:tabs>
          <w:tab w:val="left" w:pos="426"/>
        </w:tabs>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（4）诊疗一卡通平台软件信息技术创新应用升级后，中标人应保证终端能与之适配使用。</w:t>
      </w:r>
    </w:p>
    <w:p w14:paraId="0049D0D0">
      <w:pPr>
        <w:pStyle w:val="14"/>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五、项目整体认识要求</w:t>
      </w:r>
    </w:p>
    <w:p w14:paraId="256D7AE5">
      <w:pPr>
        <w:tabs>
          <w:tab w:val="left" w:pos="426"/>
        </w:tabs>
        <w:spacing w:line="360" w:lineRule="auto"/>
        <w:ind w:firstLine="420" w:firstLineChars="200"/>
        <w:rPr>
          <w:rFonts w:ascii="黑体" w:hAnsi="黑体" w:eastAsia="黑体"/>
          <w:color w:val="auto"/>
          <w:szCs w:val="21"/>
          <w:highlight w:val="none"/>
        </w:rPr>
      </w:pPr>
      <w:r>
        <w:rPr>
          <w:rFonts w:hint="eastAsia" w:ascii="黑体" w:hAnsi="黑体" w:eastAsia="黑体"/>
          <w:color w:val="auto"/>
          <w:highlight w:val="none"/>
        </w:rPr>
        <w:t>鉴于本项目涉及“诊疗一卡通”自助服务平台日常运维，硬件、软件升级及后期维护的多方面要求，投标人应充分研读本用户需求，并在投标文件中细述包括但不仅限于：对项目情况的熟悉和理解程度、项目统筹方案、</w:t>
      </w:r>
      <w:r>
        <w:rPr>
          <w:rFonts w:hint="eastAsia" w:ascii="黑体" w:hAnsi="黑体" w:eastAsia="黑体"/>
          <w:color w:val="auto"/>
          <w:szCs w:val="21"/>
          <w:highlight w:val="none"/>
        </w:rPr>
        <w:t>对运维单位管理制度、技术支撑及突发事件应急能力等。</w:t>
      </w:r>
    </w:p>
    <w:p w14:paraId="20C0EC07">
      <w:pPr>
        <w:pStyle w:val="14"/>
        <w:tabs>
          <w:tab w:val="left" w:pos="426"/>
        </w:tabs>
        <w:spacing w:line="360" w:lineRule="auto"/>
        <w:rPr>
          <w:rFonts w:ascii="黑体" w:hAnsi="黑体" w:eastAsia="黑体"/>
          <w:b/>
          <w:color w:val="auto"/>
          <w:highlight w:val="none"/>
        </w:rPr>
      </w:pPr>
      <w:r>
        <w:rPr>
          <w:rFonts w:hint="eastAsia" w:ascii="黑体" w:hAnsi="黑体" w:eastAsia="黑体" w:cs="黑体"/>
          <w:color w:val="auto"/>
          <w:highlight w:val="none"/>
        </w:rPr>
        <w:t>（一）对投标人的要求</w:t>
      </w:r>
    </w:p>
    <w:p w14:paraId="1ECBCC6F">
      <w:pPr>
        <w:pStyle w:val="14"/>
        <w:tabs>
          <w:tab w:val="left" w:pos="426"/>
        </w:tabs>
        <w:spacing w:line="360" w:lineRule="auto"/>
        <w:rPr>
          <w:rFonts w:ascii="黑体" w:hAnsi="黑体" w:eastAsia="黑体"/>
          <w:b/>
          <w:color w:val="auto"/>
          <w:highlight w:val="none"/>
        </w:rPr>
      </w:pPr>
      <w:r>
        <w:rPr>
          <w:rFonts w:hint="eastAsia" w:ascii="黑体" w:hAnsi="黑体" w:eastAsia="黑体"/>
          <w:color w:val="auto"/>
          <w:szCs w:val="21"/>
          <w:highlight w:val="none"/>
        </w:rPr>
        <w:t>1、投标人</w:t>
      </w:r>
      <w:r>
        <w:rPr>
          <w:rFonts w:ascii="黑体" w:hAnsi="黑体" w:eastAsia="黑体"/>
          <w:color w:val="auto"/>
          <w:szCs w:val="21"/>
          <w:highlight w:val="none"/>
        </w:rPr>
        <w:t>应对满足</w:t>
      </w:r>
      <w:r>
        <w:rPr>
          <w:rFonts w:hint="eastAsia" w:ascii="黑体" w:hAnsi="黑体" w:eastAsia="黑体"/>
          <w:color w:val="auto"/>
          <w:szCs w:val="21"/>
          <w:highlight w:val="none"/>
        </w:rPr>
        <w:t>最低</w:t>
      </w:r>
      <w:r>
        <w:rPr>
          <w:rFonts w:ascii="黑体" w:hAnsi="黑体" w:eastAsia="黑体"/>
          <w:color w:val="auto"/>
          <w:szCs w:val="21"/>
          <w:highlight w:val="none"/>
        </w:rPr>
        <w:t>指标的设备及软件供货商的资信和信誉进行认真考核，对</w:t>
      </w:r>
      <w:r>
        <w:rPr>
          <w:rFonts w:hint="eastAsia" w:ascii="黑体" w:hAnsi="黑体" w:eastAsia="黑体"/>
          <w:color w:val="auto"/>
          <w:szCs w:val="21"/>
          <w:highlight w:val="none"/>
        </w:rPr>
        <w:t>采购人</w:t>
      </w:r>
      <w:r>
        <w:rPr>
          <w:rFonts w:ascii="黑体" w:hAnsi="黑体" w:eastAsia="黑体"/>
          <w:color w:val="auto"/>
          <w:szCs w:val="21"/>
          <w:highlight w:val="none"/>
        </w:rPr>
        <w:t>负责。</w:t>
      </w:r>
    </w:p>
    <w:p w14:paraId="0546502F">
      <w:pPr>
        <w:pStyle w:val="14"/>
        <w:tabs>
          <w:tab w:val="left" w:pos="426"/>
        </w:tabs>
        <w:spacing w:line="360" w:lineRule="auto"/>
        <w:rPr>
          <w:rFonts w:ascii="黑体" w:hAnsi="黑体" w:eastAsia="黑体"/>
          <w:b/>
          <w:color w:val="auto"/>
          <w:highlight w:val="none"/>
        </w:rPr>
      </w:pPr>
      <w:r>
        <w:rPr>
          <w:rFonts w:hint="eastAsia" w:ascii="黑体" w:hAnsi="黑体" w:eastAsia="黑体"/>
          <w:color w:val="auto"/>
          <w:szCs w:val="21"/>
          <w:highlight w:val="none"/>
        </w:rPr>
        <w:t>2、投标人</w:t>
      </w:r>
      <w:r>
        <w:rPr>
          <w:rFonts w:ascii="黑体" w:hAnsi="黑体" w:eastAsia="黑体"/>
          <w:color w:val="auto"/>
          <w:szCs w:val="21"/>
          <w:highlight w:val="none"/>
        </w:rPr>
        <w:t>应具有大型管理信息系统建设经验，以保证系统的建设质量和水平。</w:t>
      </w:r>
    </w:p>
    <w:p w14:paraId="3C442B7D">
      <w:pPr>
        <w:pStyle w:val="14"/>
        <w:tabs>
          <w:tab w:val="left" w:pos="426"/>
        </w:tabs>
        <w:spacing w:line="360" w:lineRule="auto"/>
        <w:rPr>
          <w:rFonts w:ascii="黑体" w:hAnsi="黑体" w:eastAsia="黑体"/>
          <w:b/>
          <w:color w:val="auto"/>
          <w:highlight w:val="none"/>
        </w:rPr>
      </w:pPr>
      <w:r>
        <w:rPr>
          <w:rFonts w:hint="eastAsia" w:ascii="黑体" w:hAnsi="黑体" w:eastAsia="黑体"/>
          <w:color w:val="auto"/>
          <w:szCs w:val="21"/>
          <w:highlight w:val="none"/>
        </w:rPr>
        <w:t>3、投标人</w:t>
      </w:r>
      <w:r>
        <w:rPr>
          <w:rFonts w:ascii="黑体" w:hAnsi="黑体" w:eastAsia="黑体"/>
          <w:color w:val="auto"/>
          <w:szCs w:val="21"/>
          <w:highlight w:val="none"/>
        </w:rPr>
        <w:t>应对现有系统有充分的了解，并考虑与现有系统的无缝衔接或有效整合。</w:t>
      </w:r>
    </w:p>
    <w:p w14:paraId="0F3C916E">
      <w:pPr>
        <w:pStyle w:val="14"/>
        <w:tabs>
          <w:tab w:val="left" w:pos="426"/>
        </w:tabs>
        <w:spacing w:line="360" w:lineRule="auto"/>
        <w:rPr>
          <w:rFonts w:ascii="黑体" w:hAnsi="黑体" w:eastAsia="黑体"/>
          <w:b/>
          <w:color w:val="auto"/>
          <w:highlight w:val="none"/>
        </w:rPr>
      </w:pPr>
      <w:r>
        <w:rPr>
          <w:rFonts w:hint="eastAsia" w:ascii="黑体" w:hAnsi="黑体" w:eastAsia="黑体"/>
          <w:color w:val="auto"/>
          <w:szCs w:val="21"/>
          <w:highlight w:val="none"/>
        </w:rPr>
        <w:t>4、</w:t>
      </w:r>
      <w:r>
        <w:rPr>
          <w:rFonts w:ascii="黑体" w:hAnsi="黑体" w:eastAsia="黑体"/>
          <w:color w:val="auto"/>
          <w:szCs w:val="21"/>
          <w:highlight w:val="none"/>
        </w:rPr>
        <w:t>采购人有权监督项目的测试、安装、调试、故障诊断、系统开发和验收等各项工作，中标</w:t>
      </w:r>
      <w:r>
        <w:rPr>
          <w:rFonts w:hint="eastAsia" w:ascii="黑体" w:hAnsi="黑体" w:eastAsia="黑体"/>
          <w:color w:val="auto"/>
          <w:szCs w:val="21"/>
          <w:highlight w:val="none"/>
        </w:rPr>
        <w:t>人</w:t>
      </w:r>
      <w:r>
        <w:rPr>
          <w:rFonts w:ascii="黑体" w:hAnsi="黑体" w:eastAsia="黑体"/>
          <w:color w:val="auto"/>
          <w:szCs w:val="21"/>
          <w:highlight w:val="none"/>
        </w:rPr>
        <w:t>需接受并服从采购人的监督要求。</w:t>
      </w:r>
    </w:p>
    <w:p w14:paraId="45A0F46C">
      <w:pPr>
        <w:pStyle w:val="14"/>
        <w:tabs>
          <w:tab w:val="left" w:pos="426"/>
        </w:tabs>
        <w:spacing w:line="360" w:lineRule="auto"/>
        <w:rPr>
          <w:rFonts w:ascii="黑体" w:hAnsi="黑体" w:eastAsia="黑体"/>
          <w:bCs/>
          <w:color w:val="auto"/>
          <w:highlight w:val="none"/>
        </w:rPr>
      </w:pPr>
      <w:r>
        <w:rPr>
          <w:rFonts w:hint="eastAsia" w:ascii="黑体" w:hAnsi="黑体" w:eastAsia="黑体"/>
          <w:bCs/>
          <w:color w:val="auto"/>
          <w:highlight w:val="none"/>
        </w:rPr>
        <w:t>（二）项目组织管理要求</w:t>
      </w:r>
    </w:p>
    <w:p w14:paraId="1E01BAEF">
      <w:pPr>
        <w:pStyle w:val="14"/>
        <w:tabs>
          <w:tab w:val="left" w:pos="426"/>
        </w:tabs>
        <w:spacing w:line="360" w:lineRule="auto"/>
        <w:rPr>
          <w:rFonts w:ascii="黑体" w:hAnsi="黑体" w:eastAsia="黑体"/>
          <w:bCs/>
          <w:color w:val="auto"/>
          <w:highlight w:val="none"/>
        </w:rPr>
      </w:pPr>
      <w:r>
        <w:rPr>
          <w:rFonts w:hint="eastAsia" w:ascii="黑体" w:hAnsi="黑体" w:eastAsia="黑体"/>
          <w:color w:val="auto"/>
          <w:szCs w:val="21"/>
          <w:highlight w:val="none"/>
        </w:rPr>
        <w:t>1、投标人</w:t>
      </w:r>
      <w:r>
        <w:rPr>
          <w:rFonts w:ascii="黑体" w:hAnsi="黑体" w:eastAsia="黑体"/>
          <w:color w:val="auto"/>
          <w:szCs w:val="21"/>
          <w:highlight w:val="none"/>
        </w:rPr>
        <w:t>应充分考虑满足项目的建设要求，提出完整的项目组织管理方案，包括项目组织架构、人力资源管理等，并阐述项目建设中</w:t>
      </w:r>
      <w:r>
        <w:rPr>
          <w:rFonts w:hint="eastAsia" w:ascii="黑体" w:hAnsi="黑体" w:eastAsia="黑体"/>
          <w:color w:val="auto"/>
          <w:szCs w:val="21"/>
          <w:highlight w:val="none"/>
        </w:rPr>
        <w:t>采购人</w:t>
      </w:r>
      <w:r>
        <w:rPr>
          <w:rFonts w:ascii="黑体" w:hAnsi="黑体" w:eastAsia="黑体"/>
          <w:color w:val="auto"/>
          <w:szCs w:val="21"/>
          <w:highlight w:val="none"/>
        </w:rPr>
        <w:t>的职责。</w:t>
      </w:r>
    </w:p>
    <w:p w14:paraId="2E24E2F6">
      <w:pPr>
        <w:pStyle w:val="14"/>
        <w:tabs>
          <w:tab w:val="left" w:pos="426"/>
        </w:tabs>
        <w:spacing w:line="360" w:lineRule="auto"/>
        <w:rPr>
          <w:rFonts w:ascii="黑体" w:hAnsi="黑体" w:eastAsia="黑体"/>
          <w:bCs/>
          <w:color w:val="auto"/>
          <w:highlight w:val="none"/>
        </w:rPr>
      </w:pPr>
      <w:r>
        <w:rPr>
          <w:rFonts w:hint="eastAsia" w:ascii="黑体" w:hAnsi="黑体" w:eastAsia="黑体"/>
          <w:color w:val="auto"/>
          <w:szCs w:val="21"/>
          <w:highlight w:val="none"/>
        </w:rPr>
        <w:t>2、投标人</w:t>
      </w:r>
      <w:r>
        <w:rPr>
          <w:rFonts w:ascii="黑体" w:hAnsi="黑体" w:eastAsia="黑体"/>
          <w:color w:val="auto"/>
          <w:szCs w:val="21"/>
          <w:highlight w:val="none"/>
        </w:rPr>
        <w:t>应针对本项目的特点，指派同时具备大型信息系统开发管理经验和人力资源社会保障业务知识的高素质人才担任项目经理，</w:t>
      </w:r>
      <w:r>
        <w:rPr>
          <w:rFonts w:hint="eastAsia" w:ascii="黑体" w:hAnsi="黑体" w:eastAsia="黑体"/>
          <w:color w:val="auto"/>
          <w:szCs w:val="21"/>
          <w:highlight w:val="none"/>
        </w:rPr>
        <w:t>其他服务人员应具备IT类中高级认证及相关信息系统开发或维护的经验，</w:t>
      </w:r>
      <w:r>
        <w:rPr>
          <w:rFonts w:ascii="黑体" w:hAnsi="黑体" w:eastAsia="黑体"/>
          <w:color w:val="auto"/>
          <w:szCs w:val="21"/>
          <w:highlight w:val="none"/>
        </w:rPr>
        <w:t>合理组织和配备</w:t>
      </w:r>
      <w:r>
        <w:rPr>
          <w:rFonts w:hint="eastAsia" w:ascii="黑体" w:hAnsi="黑体" w:eastAsia="黑体"/>
          <w:color w:val="auto"/>
          <w:szCs w:val="21"/>
          <w:highlight w:val="none"/>
        </w:rPr>
        <w:t>各类专业</w:t>
      </w:r>
      <w:r>
        <w:rPr>
          <w:rFonts w:ascii="黑体" w:hAnsi="黑体" w:eastAsia="黑体"/>
          <w:color w:val="auto"/>
          <w:szCs w:val="21"/>
          <w:highlight w:val="none"/>
        </w:rPr>
        <w:t>人员，从而形成一个高效的软件开发实施团队和管理组织机构，以确保软件开发按质、按量、按时完成，并有序</w:t>
      </w:r>
      <w:r>
        <w:rPr>
          <w:rFonts w:hint="eastAsia" w:ascii="黑体" w:hAnsi="黑体" w:eastAsia="黑体"/>
          <w:color w:val="auto"/>
          <w:szCs w:val="21"/>
          <w:highlight w:val="none"/>
        </w:rPr>
        <w:t>地</w:t>
      </w:r>
      <w:r>
        <w:rPr>
          <w:rFonts w:ascii="黑体" w:hAnsi="黑体" w:eastAsia="黑体"/>
          <w:color w:val="auto"/>
          <w:szCs w:val="21"/>
          <w:highlight w:val="none"/>
        </w:rPr>
        <w:t>组织实施工作。</w:t>
      </w:r>
    </w:p>
    <w:p w14:paraId="35E77B45">
      <w:pPr>
        <w:pStyle w:val="14"/>
        <w:tabs>
          <w:tab w:val="left" w:pos="426"/>
        </w:tabs>
        <w:spacing w:line="360" w:lineRule="auto"/>
        <w:rPr>
          <w:rFonts w:ascii="黑体" w:hAnsi="黑体" w:eastAsia="黑体"/>
          <w:bCs/>
          <w:color w:val="auto"/>
          <w:highlight w:val="none"/>
        </w:rPr>
      </w:pPr>
      <w:r>
        <w:rPr>
          <w:rFonts w:hint="eastAsia" w:ascii="黑体" w:hAnsi="黑体" w:eastAsia="黑体"/>
          <w:color w:val="auto"/>
          <w:szCs w:val="21"/>
          <w:highlight w:val="none"/>
        </w:rPr>
        <w:t>3、投标人</w:t>
      </w:r>
      <w:r>
        <w:rPr>
          <w:rFonts w:ascii="黑体" w:hAnsi="黑体" w:eastAsia="黑体"/>
          <w:color w:val="auto"/>
          <w:szCs w:val="21"/>
          <w:highlight w:val="none"/>
        </w:rPr>
        <w:t>在投标时应提供参加本项目的技术人员详细资料，包括姓名、职务、职称、主要资历、荣誉、经验及承担过的项目。项目核心人员的更替需提出书面申请，并征得采购人同意后方可替换。</w:t>
      </w:r>
    </w:p>
    <w:p w14:paraId="4BA28913">
      <w:pPr>
        <w:pStyle w:val="14"/>
        <w:tabs>
          <w:tab w:val="left" w:pos="426"/>
        </w:tabs>
        <w:spacing w:line="360" w:lineRule="auto"/>
        <w:rPr>
          <w:rFonts w:ascii="黑体" w:hAnsi="黑体" w:eastAsia="黑体"/>
          <w:bCs/>
          <w:color w:val="auto"/>
          <w:highlight w:val="none"/>
        </w:rPr>
      </w:pPr>
      <w:r>
        <w:rPr>
          <w:rFonts w:hint="eastAsia" w:ascii="黑体" w:hAnsi="黑体" w:eastAsia="黑体"/>
          <w:bCs/>
          <w:color w:val="auto"/>
          <w:highlight w:val="none"/>
        </w:rPr>
        <w:t>（三）技术支撑能力要求</w:t>
      </w:r>
    </w:p>
    <w:p w14:paraId="28765260">
      <w:pPr>
        <w:spacing w:line="360" w:lineRule="auto"/>
        <w:ind w:firstLine="420" w:firstLineChars="200"/>
        <w:rPr>
          <w:rFonts w:ascii="黑体" w:hAnsi="黑体" w:eastAsia="黑体"/>
          <w:color w:val="auto"/>
          <w:szCs w:val="21"/>
          <w:highlight w:val="none"/>
        </w:rPr>
      </w:pPr>
      <w:r>
        <w:rPr>
          <w:rFonts w:hint="eastAsia" w:ascii="黑体" w:hAnsi="黑体" w:eastAsia="黑体"/>
          <w:color w:val="auto"/>
          <w:szCs w:val="21"/>
          <w:highlight w:val="none"/>
        </w:rPr>
        <w:t>投标人为采购人提供专业化的科技对接服务，在社区诊疗一卡通平台升级及维护工作中及时响应、灵活决策、迅速落地。</w:t>
      </w:r>
    </w:p>
    <w:p w14:paraId="2F5D6687">
      <w:pPr>
        <w:pStyle w:val="14"/>
        <w:tabs>
          <w:tab w:val="left" w:pos="426"/>
        </w:tabs>
        <w:spacing w:line="360" w:lineRule="auto"/>
        <w:rPr>
          <w:rFonts w:ascii="黑体" w:hAnsi="黑体" w:eastAsia="黑体"/>
          <w:bCs/>
          <w:color w:val="auto"/>
          <w:highlight w:val="none"/>
        </w:rPr>
      </w:pPr>
      <w:r>
        <w:rPr>
          <w:rFonts w:hint="eastAsia" w:ascii="黑体" w:hAnsi="黑体" w:eastAsia="黑体"/>
          <w:bCs/>
          <w:color w:val="auto"/>
          <w:highlight w:val="none"/>
        </w:rPr>
        <w:t>（四）服务能力要求</w:t>
      </w:r>
    </w:p>
    <w:p w14:paraId="280D4886">
      <w:pPr>
        <w:spacing w:line="360" w:lineRule="auto"/>
        <w:ind w:firstLine="420" w:firstLineChars="200"/>
        <w:rPr>
          <w:rFonts w:ascii="黑体" w:hAnsi="黑体" w:eastAsia="黑体"/>
          <w:bCs/>
          <w:color w:val="auto"/>
          <w:highlight w:val="none"/>
        </w:rPr>
      </w:pPr>
      <w:r>
        <w:rPr>
          <w:rFonts w:hint="eastAsia" w:ascii="黑体" w:hAnsi="黑体" w:eastAsia="黑体"/>
          <w:bCs/>
          <w:color w:val="auto"/>
          <w:highlight w:val="none"/>
        </w:rPr>
        <w:t>投标人应配备充足的运维人员在东莞市各镇街，及时响应社区卫生服务中心的各项服务需求，并无条件配合社区卫生服务中心的工作。</w:t>
      </w:r>
    </w:p>
    <w:p w14:paraId="3240E1B9">
      <w:pPr>
        <w:pStyle w:val="14"/>
        <w:tabs>
          <w:tab w:val="left" w:pos="426"/>
        </w:tabs>
        <w:spacing w:line="360" w:lineRule="auto"/>
        <w:rPr>
          <w:rFonts w:ascii="黑体" w:hAnsi="黑体" w:eastAsia="黑体"/>
          <w:bCs/>
          <w:color w:val="auto"/>
          <w:highlight w:val="none"/>
        </w:rPr>
      </w:pPr>
      <w:r>
        <w:rPr>
          <w:rFonts w:hint="eastAsia" w:ascii="黑体" w:hAnsi="黑体" w:eastAsia="黑体"/>
          <w:bCs/>
          <w:color w:val="auto"/>
          <w:highlight w:val="none"/>
        </w:rPr>
        <w:t>（五）突发事件应急能力要求</w:t>
      </w:r>
    </w:p>
    <w:p w14:paraId="2E98359B">
      <w:pPr>
        <w:spacing w:line="360" w:lineRule="auto"/>
        <w:ind w:firstLine="420" w:firstLineChars="200"/>
        <w:rPr>
          <w:rFonts w:ascii="黑体" w:hAnsi="黑体" w:eastAsia="黑体"/>
          <w:bCs/>
          <w:color w:val="auto"/>
          <w:highlight w:val="none"/>
        </w:rPr>
      </w:pPr>
      <w:r>
        <w:rPr>
          <w:rFonts w:hint="eastAsia" w:ascii="黑体" w:hAnsi="黑体" w:eastAsia="黑体"/>
          <w:bCs/>
          <w:color w:val="auto"/>
          <w:highlight w:val="none"/>
        </w:rPr>
        <w:t>投标人应配备24小时应急服务措施，服务团队能在“诊疗一卡通”平台发生系统性故障后即时响应，并在24小时内恢复正常使用。若发生参保人群体性投诉事件，需24小时内做出有效回复及措施，协助采购人有效处理各类投诉。</w:t>
      </w:r>
    </w:p>
    <w:p w14:paraId="5FBD294F">
      <w:pPr>
        <w:pStyle w:val="15"/>
        <w:spacing w:line="360" w:lineRule="auto"/>
        <w:rPr>
          <w:rFonts w:ascii="黑体" w:hAnsi="黑体" w:eastAsia="黑体"/>
          <w:b/>
          <w:color w:val="auto"/>
          <w:highlight w:val="none"/>
        </w:rPr>
      </w:pPr>
      <w:r>
        <w:rPr>
          <w:rFonts w:hint="eastAsia" w:ascii="黑体" w:hAnsi="黑体" w:eastAsia="黑体"/>
          <w:b/>
          <w:color w:val="auto"/>
          <w:highlight w:val="none"/>
        </w:rPr>
        <w:t>六、信息技术应用创新升级改造后系统与原系统（简称“新旧系统”）切换要求</w:t>
      </w:r>
    </w:p>
    <w:p w14:paraId="5B1836DC">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（一）切换计划。中标人应制定科学的切换计划方案，包括切换的时间点、切换的总体内容、人员的安排、分批上线的社区划分、新旧系统及设备的并行策略等，与采购人沟通确认后按计划开展实施。</w:t>
      </w:r>
    </w:p>
    <w:p w14:paraId="4AF0BC66">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highlight w:val="none"/>
        </w:rPr>
        <w:t>（二）</w:t>
      </w:r>
      <w:r>
        <w:rPr>
          <w:rFonts w:ascii="黑体" w:hAnsi="黑体" w:eastAsia="黑体"/>
          <w:color w:val="auto"/>
          <w:szCs w:val="21"/>
          <w:highlight w:val="none"/>
        </w:rPr>
        <w:t>项目测试</w:t>
      </w:r>
      <w:r>
        <w:rPr>
          <w:rFonts w:hint="eastAsia" w:ascii="黑体" w:hAnsi="黑体" w:eastAsia="黑体"/>
          <w:color w:val="auto"/>
          <w:szCs w:val="21"/>
          <w:highlight w:val="none"/>
        </w:rPr>
        <w:t>。</w:t>
      </w:r>
      <w:r>
        <w:rPr>
          <w:rFonts w:ascii="黑体" w:hAnsi="黑体" w:eastAsia="黑体"/>
          <w:color w:val="auto"/>
          <w:szCs w:val="21"/>
          <w:highlight w:val="none"/>
        </w:rPr>
        <w:t>投标人需提供详细测试方案，包括采用测试目的、测试方法与技术以及测试流程等，并能对测试问题进行有效处理。</w:t>
      </w:r>
      <w:r>
        <w:rPr>
          <w:rFonts w:hint="eastAsia" w:ascii="黑体" w:hAnsi="黑体" w:eastAsia="黑体"/>
          <w:color w:val="auto"/>
          <w:szCs w:val="21"/>
          <w:highlight w:val="none"/>
        </w:rPr>
        <w:t>测试方案</w:t>
      </w:r>
      <w:r>
        <w:rPr>
          <w:rFonts w:ascii="黑体" w:hAnsi="黑体" w:eastAsia="黑体"/>
          <w:color w:val="auto"/>
          <w:szCs w:val="21"/>
          <w:highlight w:val="none"/>
        </w:rPr>
        <w:t>具体到每一个测试步骤，与</w:t>
      </w:r>
      <w:r>
        <w:rPr>
          <w:rFonts w:hint="eastAsia" w:ascii="黑体" w:hAnsi="黑体" w:eastAsia="黑体"/>
          <w:color w:val="auto"/>
          <w:szCs w:val="21"/>
          <w:highlight w:val="none"/>
        </w:rPr>
        <w:t>采购人</w:t>
      </w:r>
      <w:r>
        <w:rPr>
          <w:rFonts w:ascii="黑体" w:hAnsi="黑体" w:eastAsia="黑体"/>
          <w:color w:val="auto"/>
          <w:szCs w:val="21"/>
          <w:highlight w:val="none"/>
        </w:rPr>
        <w:t>讨论通过后，方可按计划进行测试。</w:t>
      </w:r>
      <w:r>
        <w:rPr>
          <w:rFonts w:hint="eastAsia" w:ascii="黑体" w:hAnsi="黑体" w:eastAsia="黑体"/>
          <w:color w:val="auto"/>
          <w:szCs w:val="21"/>
          <w:highlight w:val="none"/>
        </w:rPr>
        <w:t>测试功能除涵盖本项目列出的所有建设内容外，还应包括与卫健、医保等部门的联调测试。</w:t>
      </w:r>
    </w:p>
    <w:p w14:paraId="77082C2C">
      <w:pPr>
        <w:pStyle w:val="15"/>
        <w:spacing w:line="360" w:lineRule="auto"/>
        <w:rPr>
          <w:rFonts w:ascii="黑体" w:hAnsi="黑体" w:eastAsia="黑体"/>
          <w:color w:val="auto"/>
          <w:szCs w:val="21"/>
          <w:highlight w:val="none"/>
        </w:rPr>
      </w:pPr>
      <w:r>
        <w:rPr>
          <w:rFonts w:hint="eastAsia" w:ascii="黑体" w:hAnsi="黑体" w:eastAsia="黑体"/>
          <w:color w:val="auto"/>
          <w:szCs w:val="21"/>
          <w:highlight w:val="none"/>
        </w:rPr>
        <w:t>（三）系统压力测试。为确保切换后系统能承受全市33个镇街（园区）所有社区诊疗一卡通自助服务终端的瞬时压力，中标人应制定完整的系统压力测试方案，充分考量系统资源、网络带宽、并发数量、终端承受能力等因素，与采购人共同讨论确认后开展实施。</w:t>
      </w:r>
    </w:p>
    <w:p w14:paraId="561CEF85">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四）培训计划。投标人应制定对相关工作人员的培训计划，在新系统上线前须做好社区工作人员的培训工作，确保社区工人员尽快习惯使用新系统。投标人组织编写系统功能操作说明，为社区工作人员提供系统操作指引以及相关界面操作文档，组织好社区工作人员的系统应用培训，做好技术支持，培训工作需在规定时间前完成。</w:t>
      </w:r>
    </w:p>
    <w:p w14:paraId="72416393">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 xml:space="preserve">（五）环境准备。中标人应在在安装新设备之前，组织社区应对新设备的安装位置、强电、弱电做好装备工作。特别是强电环境，必须符合安全生产要求，防止触电事件发生，保证就诊人员、社区操作人员，以及设备的安全。 </w:t>
      </w:r>
    </w:p>
    <w:p w14:paraId="5B9474D5">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六）在途业务衔接准备。中标人应确认在途数据的处理方案，指导社区提前办结在途数据，确实无法通过社区前台完成的，收集各社区提交汇总后通过技术批量处理解决。对于部分历史数据无法处理的，应结合社区的要求，做好数据迁移或备份，随时配合社区通过技术手段协助解决。</w:t>
      </w:r>
    </w:p>
    <w:p w14:paraId="5FF5420A">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七）新旧系统及设备切换要求。中标人须保证本次系统切换新、旧系统及设备并行运行并无缝切换；以稳妥推进、逐步替换的方式完成，选取部分试点替换完成后在正环境中进行上线前的联调，保障新设备的网络环境、业务流程符合实际的业务场景。</w:t>
      </w:r>
    </w:p>
    <w:p w14:paraId="04439543">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八）试点切换。投标人应制定正式切换工作方案，包括但不限于设备安装及部署调试、网络调试、接口联调、新旧自助程序测试、新旧设备运行测试等。中标人应在试点切换社区配备工作人员，对现场出现的问题随时调度后台技术支撑工作人员，以最快的速度协调解决问题。</w:t>
      </w:r>
    </w:p>
    <w:p w14:paraId="3728FB11">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（九）系统运行监控。中标人应全程做好系统试运行监控，对程序问题以及系统优化报告需及时做好跟踪处理，包括但不限于前台运行情况监控、后台运行情况监控、后台账款情况监控等。</w:t>
      </w:r>
    </w:p>
    <w:p w14:paraId="6553C116">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十）运行情况总结。中标人须对运行情况进行总结分析，包括前台、后台等运行情况，以及系统优化情况等，总结报告主要用于判断新系统运行的平稳性、承载能力，判断试点镇街社区工作人员对新系统的适应性，作为全面上线工作安排的重要参考。</w:t>
      </w:r>
    </w:p>
    <w:p w14:paraId="47C74DEB">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（十一）全面上线切换。在试点切换运行稳定一段时间后，中标人应按切换计划要求，在规定时间范围内，完成全市所有社区中心、站点的切换上线，同时配备足够的人手，应对切换中发生的各种问题。</w:t>
      </w:r>
    </w:p>
    <w:p w14:paraId="0DF487DC">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十二）系统切换应急方案。为保障系统切换安全、顺利完成，中标人应制定系统切换应急处置工作方案，充分考虑可能出现各种情况并制定应急处置措施，明确工作原则、预防措施、事件分级、应急措施和响应机制等。包括但不限于：在新系统出现重大程序问题导致无法业务经办时，社区可以即刻暂停使用自助设备，采取人工窗口办理模式，不会导致业务经办终端。或者通过系统回滚等方式，保证业务能在最短时间恢复正常开展。</w:t>
      </w:r>
    </w:p>
    <w:p w14:paraId="772F4393">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十三）做好系统跟踪完善和运维保障。中标人应在全面正式上线后，持续监控系统的运行状况，配合采购人协调解决正式上线后遇到的业务问题以及突发事件的处置。每天负责收集各社区反映的问题集中研究解决，及时做好工单的跟踪处理，做好系统保障工作，不断完善系统功能，保障日常业务经办顺利开展。</w:t>
      </w:r>
    </w:p>
    <w:p w14:paraId="4DE9376C">
      <w:pPr>
        <w:pStyle w:val="14"/>
        <w:tabs>
          <w:tab w:val="left" w:pos="426"/>
        </w:tabs>
        <w:spacing w:line="360" w:lineRule="auto"/>
        <w:rPr>
          <w:rFonts w:hint="eastAsia" w:ascii="黑体" w:hAnsi="黑体" w:eastAsia="黑体"/>
          <w:color w:val="auto"/>
          <w:szCs w:val="21"/>
          <w:highlight w:val="none"/>
        </w:rPr>
      </w:pPr>
      <w:r>
        <w:rPr>
          <w:rFonts w:hint="eastAsia" w:ascii="黑体" w:hAnsi="黑体" w:eastAsia="黑体"/>
          <w:color w:val="auto"/>
          <w:szCs w:val="21"/>
          <w:highlight w:val="none"/>
        </w:rPr>
        <w:t>（十四）配合采购人做好切换提前告知与切换后的咨询引导。系统切换前，配合采购人利用微信公众号、网站、新闻媒体等多渠道发布系统切换公告，协调相关部门在其自有平台转载等；通知12345热线做好咨询服务；在社区窗口张贴上线宣传海报等。系统切换后，配合采购人密切关注12345等热线咨询情况，做好回复解释工作。配备足够的人手在社区现场做好引导解释工作，避免引起大面积的投诉。</w:t>
      </w:r>
    </w:p>
    <w:p w14:paraId="353022C3">
      <w:pPr>
        <w:pStyle w:val="16"/>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七、项目的实施及验收要求</w:t>
      </w:r>
    </w:p>
    <w:p w14:paraId="514CF913">
      <w:pPr>
        <w:pStyle w:val="14"/>
        <w:tabs>
          <w:tab w:val="left" w:pos="426"/>
        </w:tabs>
        <w:spacing w:line="360" w:lineRule="auto"/>
        <w:rPr>
          <w:rFonts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项目</w:t>
      </w:r>
      <w:r>
        <w:rPr>
          <w:rFonts w:ascii="黑体" w:hAnsi="黑体" w:eastAsia="黑体"/>
          <w:color w:val="auto"/>
          <w:szCs w:val="21"/>
          <w:highlight w:val="none"/>
        </w:rPr>
        <w:t>进度管理要求</w:t>
      </w:r>
    </w:p>
    <w:p w14:paraId="03113BE0">
      <w:pPr>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投标人保证现有诊疗一卡通平台的稳定运行，并在2027年前完成诊疗一卡通平台的软件信息技术应用创新升级。整体项目计划应包括以下主要内容：</w:t>
      </w:r>
    </w:p>
    <w:p w14:paraId="4534030A">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1、项目总体实施方案，包含终端设备方案、软件对接方案等。</w:t>
      </w:r>
    </w:p>
    <w:p w14:paraId="3019B3B7">
      <w:pPr>
        <w:pStyle w:val="14"/>
        <w:tabs>
          <w:tab w:val="left" w:pos="426"/>
        </w:tabs>
        <w:spacing w:line="360" w:lineRule="auto"/>
        <w:ind w:firstLineChars="0"/>
        <w:rPr>
          <w:rFonts w:ascii="黑体" w:hAnsi="黑体" w:eastAsia="黑体"/>
          <w:bCs/>
          <w:color w:val="auto"/>
          <w:szCs w:val="21"/>
          <w:highlight w:val="none"/>
        </w:rPr>
      </w:pPr>
      <w:r>
        <w:rPr>
          <w:rFonts w:hint="eastAsia" w:ascii="黑体" w:hAnsi="黑体" w:eastAsia="黑体"/>
          <w:bCs/>
          <w:color w:val="auto"/>
          <w:szCs w:val="21"/>
          <w:highlight w:val="none"/>
        </w:rPr>
        <w:t>2、项目人员及开发进度安排。包括人力资源计划，即拟对本项目投入的人员安排以及相关资质说明；项目开发计划，包括项目里程碑设置，软件开发及调试对接计划、终端部署计划等。投标人要根据持续时间、资源需求和进度制约因素，制定科学的项目进度计划，并提交给采购人审批，审批通过的计划由采购人进行正式发布。</w:t>
      </w:r>
    </w:p>
    <w:p w14:paraId="1EE50F30">
      <w:pPr>
        <w:pStyle w:val="14"/>
        <w:tabs>
          <w:tab w:val="left" w:pos="426"/>
        </w:tabs>
        <w:spacing w:line="360" w:lineRule="auto"/>
        <w:rPr>
          <w:rFonts w:ascii="黑体" w:hAnsi="黑体" w:eastAsia="黑体"/>
          <w:color w:val="auto"/>
          <w:highlight w:val="none"/>
        </w:rPr>
      </w:pPr>
      <w:r>
        <w:rPr>
          <w:rFonts w:hint="eastAsia" w:ascii="黑体" w:hAnsi="黑体" w:eastAsia="黑体"/>
          <w:bCs/>
          <w:color w:val="auto"/>
          <w:szCs w:val="21"/>
          <w:highlight w:val="none"/>
        </w:rPr>
        <w:t>3、投标人要定期进行项目进度汇报，对可能存在的进度延误风险，采购人有权力要求投标人通过批准加班、增加额外资源等进行赶工，以确保项目按计划开展。</w:t>
      </w:r>
    </w:p>
    <w:p w14:paraId="0DD67FF6">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（二）</w:t>
      </w:r>
      <w:r>
        <w:rPr>
          <w:rFonts w:ascii="黑体" w:hAnsi="黑体" w:eastAsia="黑体"/>
          <w:color w:val="auto"/>
          <w:szCs w:val="21"/>
          <w:highlight w:val="none"/>
        </w:rPr>
        <w:t>项目风险管理</w:t>
      </w:r>
    </w:p>
    <w:p w14:paraId="3CAF1E01">
      <w:pPr>
        <w:spacing w:line="360" w:lineRule="auto"/>
        <w:ind w:firstLine="420" w:firstLineChars="200"/>
        <w:rPr>
          <w:rFonts w:ascii="黑体" w:hAnsi="黑体" w:eastAsia="黑体"/>
          <w:color w:val="auto"/>
          <w:szCs w:val="21"/>
          <w:highlight w:val="none"/>
        </w:rPr>
      </w:pPr>
      <w:r>
        <w:rPr>
          <w:rFonts w:ascii="黑体" w:hAnsi="黑体" w:eastAsia="黑体"/>
          <w:color w:val="auto"/>
          <w:szCs w:val="21"/>
          <w:highlight w:val="none"/>
        </w:rPr>
        <w:t>投标人应充分认识到项目风险管理的重要性，在投标文件中需识别分析项目中的各类风险因素，并提出相应的对策。</w:t>
      </w:r>
    </w:p>
    <w:p w14:paraId="7395DA16">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（三）</w:t>
      </w:r>
      <w:r>
        <w:rPr>
          <w:rFonts w:ascii="黑体" w:hAnsi="黑体" w:eastAsia="黑体"/>
          <w:color w:val="auto"/>
          <w:szCs w:val="21"/>
          <w:highlight w:val="none"/>
        </w:rPr>
        <w:t>项目沟通管理</w:t>
      </w:r>
    </w:p>
    <w:p w14:paraId="7685998A">
      <w:pPr>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投标人需在投标文件中阐述项目沟通计划，确保双方之间信息沟通顺畅。</w:t>
      </w:r>
    </w:p>
    <w:p w14:paraId="245AE3E4">
      <w:pPr>
        <w:pStyle w:val="14"/>
        <w:tabs>
          <w:tab w:val="left" w:pos="426"/>
        </w:tabs>
        <w:spacing w:line="360" w:lineRule="auto"/>
        <w:rPr>
          <w:rFonts w:ascii="黑体" w:hAnsi="黑体" w:eastAsia="黑体"/>
          <w:color w:val="auto"/>
          <w:highlight w:val="none"/>
        </w:rPr>
      </w:pPr>
      <w:r>
        <w:rPr>
          <w:rFonts w:hint="eastAsia" w:ascii="黑体" w:hAnsi="黑体" w:eastAsia="黑体"/>
          <w:color w:val="auto"/>
          <w:szCs w:val="21"/>
          <w:highlight w:val="none"/>
        </w:rPr>
        <w:t>（四）</w:t>
      </w:r>
      <w:r>
        <w:rPr>
          <w:rFonts w:ascii="黑体" w:hAnsi="黑体" w:eastAsia="黑体"/>
          <w:color w:val="auto"/>
          <w:szCs w:val="21"/>
          <w:highlight w:val="none"/>
        </w:rPr>
        <w:t>项目验收要求</w:t>
      </w:r>
    </w:p>
    <w:p w14:paraId="195D782C">
      <w:pPr>
        <w:spacing w:line="360" w:lineRule="auto"/>
        <w:ind w:firstLine="420" w:firstLineChars="200"/>
        <w:rPr>
          <w:rFonts w:ascii="黑体" w:hAnsi="黑体" w:eastAsia="黑体"/>
          <w:color w:val="auto"/>
          <w:szCs w:val="21"/>
          <w:highlight w:val="none"/>
        </w:rPr>
      </w:pPr>
      <w:r>
        <w:rPr>
          <w:rFonts w:hint="eastAsia" w:ascii="黑体" w:hAnsi="黑体" w:eastAsia="黑体"/>
          <w:color w:val="auto"/>
          <w:szCs w:val="21"/>
          <w:highlight w:val="none"/>
        </w:rPr>
        <w:t>诊疗一卡通自助服务平台的软件系统及终端硬件设备需要经采购人验收后方可视为项目建设完成。软件系统的功能要求需要全部满足本项目需求，对于中标人另行增加的功能需要征得采购人同意；终端硬件设备需要满足本项目需求中的最低标准，中标人可在征得采购人同意的情况下提高终端硬件标准，但不可降低。</w:t>
      </w:r>
    </w:p>
    <w:p w14:paraId="75AC7BDA">
      <w:pPr>
        <w:pStyle w:val="16"/>
        <w:tabs>
          <w:tab w:val="left" w:pos="426"/>
          <w:tab w:val="left" w:pos="709"/>
        </w:tabs>
        <w:spacing w:beforeLines="50" w:line="360" w:lineRule="auto"/>
        <w:ind w:firstLine="413" w:firstLineChars="196"/>
        <w:rPr>
          <w:rFonts w:hint="eastAsia" w:ascii="黑体" w:hAnsi="黑体" w:eastAsia="黑体"/>
          <w:b/>
          <w:bCs/>
          <w:color w:val="auto"/>
          <w:highlight w:val="none"/>
        </w:rPr>
      </w:pPr>
    </w:p>
    <w:p w14:paraId="5EAA42B6">
      <w:pPr>
        <w:pStyle w:val="16"/>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bCs/>
          <w:color w:val="auto"/>
          <w:highlight w:val="none"/>
        </w:rPr>
        <w:t>八、维护保障</w:t>
      </w:r>
      <w:r>
        <w:rPr>
          <w:rFonts w:hint="eastAsia" w:ascii="黑体" w:hAnsi="黑体" w:eastAsia="黑体"/>
          <w:b/>
          <w:color w:val="auto"/>
          <w:highlight w:val="none"/>
        </w:rPr>
        <w:t>要求</w:t>
      </w:r>
    </w:p>
    <w:p w14:paraId="4B95B0F7">
      <w:pPr>
        <w:pStyle w:val="14"/>
        <w:tabs>
          <w:tab w:val="left" w:pos="426"/>
        </w:tabs>
        <w:spacing w:line="360" w:lineRule="auto"/>
        <w:rPr>
          <w:rFonts w:ascii="黑体" w:hAnsi="黑体" w:eastAsia="黑体" w:cs="黑体"/>
          <w:color w:val="auto"/>
          <w:highlight w:val="none"/>
        </w:rPr>
      </w:pPr>
      <w:r>
        <w:rPr>
          <w:rFonts w:ascii="黑体" w:hAnsi="黑体" w:eastAsia="黑体"/>
          <w:color w:val="auto"/>
          <w:szCs w:val="21"/>
          <w:highlight w:val="none"/>
        </w:rPr>
        <w:t>在维护服务期内，中标人需要提供包括但不限于以下的维护服务：</w:t>
      </w:r>
    </w:p>
    <w:p w14:paraId="159B56F8">
      <w:pPr>
        <w:pStyle w:val="14"/>
        <w:tabs>
          <w:tab w:val="left" w:pos="426"/>
        </w:tabs>
        <w:spacing w:line="360" w:lineRule="auto"/>
        <w:rPr>
          <w:rFonts w:ascii="黑体" w:hAnsi="黑体" w:eastAsia="黑体" w:cs="黑体"/>
          <w:color w:val="auto"/>
          <w:szCs w:val="21"/>
          <w:highlight w:val="none"/>
        </w:rPr>
      </w:pPr>
      <w:r>
        <w:rPr>
          <w:rFonts w:hint="eastAsia" w:ascii="黑体" w:hAnsi="黑体" w:eastAsia="黑体" w:cs="黑体"/>
          <w:color w:val="auto"/>
          <w:highlight w:val="none"/>
        </w:rPr>
        <w:t>（一）终端</w:t>
      </w:r>
      <w:r>
        <w:rPr>
          <w:rFonts w:hint="eastAsia" w:ascii="黑体" w:hAnsi="黑体" w:eastAsia="黑体" w:cs="黑体"/>
          <w:color w:val="auto"/>
          <w:szCs w:val="21"/>
          <w:highlight w:val="none"/>
        </w:rPr>
        <w:t>维护要求</w:t>
      </w:r>
    </w:p>
    <w:p w14:paraId="521D199B">
      <w:pPr>
        <w:pStyle w:val="14"/>
        <w:tabs>
          <w:tab w:val="left" w:pos="426"/>
        </w:tabs>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1、当自助终端设备出现故障时，中标人需及时进行检查、维修或更换故障部件。若出现硬件故障，确定暂时无法修复或2小时内未能完成修复时，中标人须在4小时内免费提供同规格备件进行更换。</w:t>
      </w:r>
    </w:p>
    <w:p w14:paraId="2BD1B69D">
      <w:pPr>
        <w:pStyle w:val="14"/>
        <w:tabs>
          <w:tab w:val="left" w:pos="426"/>
        </w:tabs>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2、中标人须针对本项目建立备件库，备有所投终端设备的关键部件，包括但不仅限于整机、CPU板、内存等，保证当采购人保修范围内的设备出现零件损坏时，及时提供现场更换服务。</w:t>
      </w:r>
    </w:p>
    <w:p w14:paraId="5D60E9F3">
      <w:pPr>
        <w:pStyle w:val="14"/>
        <w:tabs>
          <w:tab w:val="left" w:pos="426"/>
        </w:tabs>
        <w:spacing w:line="360" w:lineRule="auto"/>
        <w:rPr>
          <w:rFonts w:ascii="黑体" w:hAnsi="黑体" w:eastAsia="黑体" w:cs="黑体"/>
          <w:color w:val="auto"/>
          <w:szCs w:val="21"/>
          <w:highlight w:val="none"/>
        </w:rPr>
      </w:pPr>
      <w:r>
        <w:rPr>
          <w:rFonts w:hint="eastAsia" w:ascii="黑体" w:hAnsi="黑体" w:eastAsia="黑体" w:cs="黑体"/>
          <w:color w:val="auto"/>
          <w:szCs w:val="21"/>
          <w:highlight w:val="none"/>
        </w:rPr>
        <w:t>（二）终端二次更新要求</w:t>
      </w:r>
    </w:p>
    <w:p w14:paraId="6EAE8F18">
      <w:pPr>
        <w:pStyle w:val="15"/>
        <w:spacing w:line="360" w:lineRule="auto"/>
        <w:rPr>
          <w:color w:val="auto"/>
          <w:highlight w:val="none"/>
        </w:rPr>
      </w:pPr>
      <w:r>
        <w:rPr>
          <w:rFonts w:hint="eastAsia" w:ascii="黑体" w:hAnsi="黑体" w:eastAsia="黑体" w:cs="黑体"/>
          <w:color w:val="auto"/>
          <w:szCs w:val="21"/>
          <w:highlight w:val="none"/>
        </w:rPr>
        <w:t>合同期内，当出现设备老化或原设备不能满足现在服务的扩展需要，中标人应按照承诺的比例原设备进行二次更新替旧。如更新范围超过承诺的，则双方协商解决。</w:t>
      </w:r>
    </w:p>
    <w:p w14:paraId="23F7E85F">
      <w:pPr>
        <w:spacing w:line="360" w:lineRule="auto"/>
        <w:ind w:firstLine="420" w:firstLineChars="200"/>
        <w:rPr>
          <w:rFonts w:ascii="黑体" w:hAnsi="黑体" w:eastAsia="黑体"/>
          <w:color w:val="auto"/>
          <w:szCs w:val="21"/>
          <w:highlight w:val="none"/>
        </w:rPr>
      </w:pPr>
      <w:r>
        <w:rPr>
          <w:rFonts w:hint="eastAsia" w:ascii="黑体" w:hAnsi="黑体" w:eastAsia="黑体"/>
          <w:color w:val="auto"/>
          <w:szCs w:val="21"/>
          <w:highlight w:val="none"/>
        </w:rPr>
        <w:t>（三）</w:t>
      </w:r>
      <w:bookmarkStart w:id="12" w:name="_Hlk28276498"/>
      <w:r>
        <w:rPr>
          <w:rFonts w:hint="eastAsia" w:ascii="黑体" w:hAnsi="黑体" w:eastAsia="黑体" w:cs="宋体"/>
          <w:color w:val="auto"/>
          <w:szCs w:val="21"/>
          <w:highlight w:val="none"/>
        </w:rPr>
        <w:t>终端和系统维护管理工作</w:t>
      </w:r>
    </w:p>
    <w:p w14:paraId="59F84834">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1、制定和实施软件系统维护服务计划；</w:t>
      </w:r>
    </w:p>
    <w:p w14:paraId="26BA2F8D">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2、程序修改完毕提供相应的源代码和修订文档；</w:t>
      </w:r>
    </w:p>
    <w:p w14:paraId="727E9884">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3、定期提交维护报告，维护到期提交总结报告；</w:t>
      </w:r>
    </w:p>
    <w:p w14:paraId="4E7A690F">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4、建立会议制度，定期召开项目会议，分析重点问题报告以及制定问题清理计划。</w:t>
      </w:r>
    </w:p>
    <w:p w14:paraId="7990FC5C">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5、安排业务经验丰富的设计人员进行问题处理方案的审核。</w:t>
      </w:r>
    </w:p>
    <w:p w14:paraId="7AD3897A">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6、根据采购人的维护制度完成维护工作。</w:t>
      </w:r>
    </w:p>
    <w:p w14:paraId="50A06FC2">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7、成立专门的项目服务小组，小组成员涵盖科技部门、业务部门及设备管理部门等人员，并派驻专人为采购人对接服务，按照采购人的要求开展工作。采购人在东莞地区应该有足够的运维支持团队，包括软件开发中心、项目管理人员、软件开发人员、网络人员、主机维护人员以及数据库管理员等，能够对社保系统的生产运维提供有力保障。</w:t>
      </w:r>
    </w:p>
    <w:p w14:paraId="2969BA0D">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8、社区诊疗一卡通终端开机及正常运转率应不得低于95%。</w:t>
      </w:r>
    </w:p>
    <w:p w14:paraId="5BEC37D7">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（四）系统改正性维护服务</w:t>
      </w:r>
    </w:p>
    <w:p w14:paraId="7FA7680D">
      <w:pPr>
        <w:tabs>
          <w:tab w:val="left" w:pos="426"/>
        </w:tabs>
        <w:spacing w:line="360" w:lineRule="auto"/>
        <w:ind w:left="142" w:firstLine="420" w:firstLineChars="200"/>
        <w:rPr>
          <w:rFonts w:ascii="黑体" w:hAnsi="黑体" w:eastAsia="黑体"/>
          <w:color w:val="auto"/>
          <w:szCs w:val="21"/>
          <w:highlight w:val="none"/>
        </w:rPr>
      </w:pPr>
      <w:r>
        <w:rPr>
          <w:rFonts w:hint="eastAsia" w:ascii="黑体" w:hAnsi="黑体" w:eastAsia="黑体" w:cs="宋体"/>
          <w:color w:val="auto"/>
          <w:szCs w:val="21"/>
          <w:highlight w:val="none"/>
        </w:rPr>
        <w:t>当软件在特定情况下运行暴露出程序错误，中标人需要及时对问题进行诊断和定位、进行程序修改、验证和补丁发布。并对因程序错误引起的数据问题进行订正，同时不能影响原来系统的正常运行。</w:t>
      </w:r>
    </w:p>
    <w:p w14:paraId="2A5211E2">
      <w:pPr>
        <w:pStyle w:val="14"/>
        <w:tabs>
          <w:tab w:val="left" w:pos="426"/>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（五）系统完善性维护工作</w:t>
      </w:r>
    </w:p>
    <w:p w14:paraId="71E6248C">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1、根据采购人需求进行系统的缺陷排除、适应性修改及进行系统优化升级。</w:t>
      </w:r>
    </w:p>
    <w:p w14:paraId="7DAC3482">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2、对于维护过程中遇到的重大问题报告，做好问题报告分析准备工作，对问题报告的现象结果、产生原因、解决措施、验证方案、数据处理执行时点等方面进行分析，与采购人进行充分沟通。在双方达成一致意见后，再进行问题的处理。</w:t>
      </w:r>
    </w:p>
    <w:p w14:paraId="5A140765">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3、纠正前台采购人错误操作。对因用户误操作导致某项业务不能办理完毕，或业务经办结果错误，在后台进行业务回退、业务结果修订。</w:t>
      </w:r>
    </w:p>
    <w:p w14:paraId="408AFCF9">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4、根据日常业务临时需要，提供技术人员在数据库后台统计业务数据。</w:t>
      </w:r>
    </w:p>
    <w:p w14:paraId="1329C3BE">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5、配合上级部门审计要求，提供技术人员在数据库后台抽取要求审计的相关数据，提供并支持具体审计工作。</w:t>
      </w:r>
    </w:p>
    <w:p w14:paraId="5BF954C3">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6、因历史数据等原因，提供技术人员在数据库后台进行业务数据修订。</w:t>
      </w:r>
    </w:p>
    <w:p w14:paraId="1B610810">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7、定期对采购人问题处理情况进行清理，提交业务科室进行问题处理结果的验证和关闭。</w:t>
      </w:r>
    </w:p>
    <w:p w14:paraId="3E4074D0">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8、利用系统日志进行日常分析处理，监控系统运行状况、版本更新情况，保证系统正常运行；</w:t>
      </w:r>
    </w:p>
    <w:p w14:paraId="76294074">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9、系统的日常维护，如故障排除、版本更新、日志清理、参数配置及其他相关工作；</w:t>
      </w:r>
    </w:p>
    <w:p w14:paraId="33659B69">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10、定期对系统进行安全性检查，保证系统安全。举行面对面的系统交流会，对系统情况、维护计划等进行交流。</w:t>
      </w:r>
    </w:p>
    <w:p w14:paraId="44534E08">
      <w:pPr>
        <w:pStyle w:val="14"/>
        <w:tabs>
          <w:tab w:val="left" w:pos="426"/>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（六）定期维护交流服务</w:t>
      </w:r>
    </w:p>
    <w:p w14:paraId="014DE3DB">
      <w:pPr>
        <w:tabs>
          <w:tab w:val="left" w:pos="426"/>
        </w:tabs>
        <w:spacing w:line="360" w:lineRule="auto"/>
        <w:ind w:firstLine="420" w:firstLineChars="200"/>
        <w:rPr>
          <w:rFonts w:ascii="黑体" w:hAnsi="黑体" w:eastAsia="黑体"/>
          <w:color w:val="auto"/>
          <w:szCs w:val="21"/>
          <w:highlight w:val="none"/>
        </w:rPr>
      </w:pPr>
      <w:r>
        <w:rPr>
          <w:rFonts w:hint="eastAsia" w:ascii="黑体" w:hAnsi="黑体" w:eastAsia="黑体" w:cs="宋体"/>
          <w:color w:val="auto"/>
          <w:szCs w:val="21"/>
          <w:highlight w:val="none"/>
        </w:rPr>
        <w:t>中标人需要定期沟通，并安排技术人员和采购人一起就系统运行过程中出现的问题进行探讨。</w:t>
      </w:r>
    </w:p>
    <w:p w14:paraId="4B3EEC1D">
      <w:pPr>
        <w:pStyle w:val="14"/>
        <w:tabs>
          <w:tab w:val="left" w:pos="426"/>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（七）系统优化与升级</w:t>
      </w:r>
    </w:p>
    <w:p w14:paraId="0BFECE0B">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1、根据政策要求或采购人实际业务开展与管理需要，增加或完善系统功能。</w:t>
      </w:r>
    </w:p>
    <w:p w14:paraId="2DBABD74">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2、定期对应用软件系统、数据库系统的性能进行检测，提供现场优化调整服务，保证应用软件的持续、高效运行。</w:t>
      </w:r>
    </w:p>
    <w:p w14:paraId="1B662F8B">
      <w:pPr>
        <w:pStyle w:val="14"/>
        <w:tabs>
          <w:tab w:val="left" w:pos="426"/>
        </w:tabs>
        <w:spacing w:line="360" w:lineRule="auto"/>
        <w:rPr>
          <w:rFonts w:ascii="黑体" w:hAnsi="黑体" w:eastAsia="黑体" w:cs="宋体"/>
          <w:color w:val="auto"/>
          <w:szCs w:val="21"/>
          <w:highlight w:val="none"/>
        </w:rPr>
      </w:pPr>
      <w:r>
        <w:rPr>
          <w:rFonts w:hint="eastAsia" w:ascii="黑体" w:hAnsi="黑体" w:eastAsia="黑体" w:cs="宋体"/>
          <w:color w:val="auto"/>
          <w:szCs w:val="21"/>
          <w:highlight w:val="none"/>
        </w:rPr>
        <w:t>（八）整体维护服务要求</w:t>
      </w:r>
    </w:p>
    <w:p w14:paraId="12E99B65">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在进行项目维护时，需满足以下服务要求：</w:t>
      </w:r>
    </w:p>
    <w:p w14:paraId="7B369F2E">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1、提供7×24小时服务（含所有国家规定的节假日）需提供至少一名责任工程师的移动电话，7×24小时响应服务请求，1小时内做出明确响应和安排，如需现场服务的，具有解决故障能力的工程师应在2小时内到达现场。</w:t>
      </w:r>
    </w:p>
    <w:p w14:paraId="3917B934">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2、定期上门巡检服务</w:t>
      </w:r>
    </w:p>
    <w:p w14:paraId="4491772A">
      <w:pPr>
        <w:tabs>
          <w:tab w:val="left" w:pos="567"/>
        </w:tabs>
        <w:spacing w:line="360" w:lineRule="auto"/>
        <w:ind w:firstLine="420" w:firstLineChars="200"/>
        <w:rPr>
          <w:rFonts w:ascii="黑体" w:hAnsi="黑体" w:eastAsia="黑体" w:cs="宋体"/>
          <w:color w:val="auto"/>
          <w:szCs w:val="21"/>
          <w:highlight w:val="none"/>
        </w:rPr>
      </w:pPr>
      <w:r>
        <w:rPr>
          <w:rFonts w:hint="eastAsia" w:ascii="黑体" w:hAnsi="黑体" w:eastAsia="黑体" w:cs="宋体"/>
          <w:color w:val="auto"/>
          <w:szCs w:val="21"/>
          <w:highlight w:val="none"/>
        </w:rPr>
        <w:t>至少每月一次定期沟通，了解系统的运行状况，为系统做定期的维护保养，使系统处于最佳运行状态；系统需按照三级等级保护要求，每年安排网络安全检查一次，出具有相关资质的第三方检查报告。根据检查报告的内容进行整改。</w:t>
      </w:r>
    </w:p>
    <w:p w14:paraId="1CF504F2">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3、电话技术支持服务</w:t>
      </w:r>
    </w:p>
    <w:p w14:paraId="753BEB28">
      <w:pPr>
        <w:tabs>
          <w:tab w:val="left" w:pos="567"/>
        </w:tabs>
        <w:spacing w:line="360" w:lineRule="auto"/>
        <w:ind w:firstLine="420" w:firstLineChars="200"/>
        <w:rPr>
          <w:rFonts w:ascii="黑体" w:hAnsi="黑体" w:eastAsia="黑体"/>
          <w:color w:val="auto"/>
          <w:szCs w:val="21"/>
          <w:highlight w:val="none"/>
        </w:rPr>
      </w:pPr>
      <w:r>
        <w:rPr>
          <w:rFonts w:hint="eastAsia" w:ascii="黑体" w:hAnsi="黑体" w:eastAsia="黑体" w:cs="宋体"/>
          <w:color w:val="auto"/>
          <w:szCs w:val="21"/>
          <w:highlight w:val="none"/>
        </w:rPr>
        <w:t>解答用户在系统使用中出现的问题。</w:t>
      </w:r>
    </w:p>
    <w:p w14:paraId="16CA8419">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4、Internet在线支持</w:t>
      </w:r>
    </w:p>
    <w:p w14:paraId="314EEB71">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5、实时远程诊断服务</w:t>
      </w:r>
    </w:p>
    <w:p w14:paraId="6ECC5E0B">
      <w:pPr>
        <w:pStyle w:val="14"/>
        <w:tabs>
          <w:tab w:val="left" w:pos="567"/>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6、紧急上门服务</w:t>
      </w:r>
    </w:p>
    <w:p w14:paraId="5EC4B41C">
      <w:pPr>
        <w:tabs>
          <w:tab w:val="left" w:pos="567"/>
        </w:tabs>
        <w:spacing w:line="360" w:lineRule="auto"/>
        <w:ind w:firstLine="420" w:firstLineChars="200"/>
        <w:rPr>
          <w:rFonts w:ascii="黑体" w:hAnsi="黑体" w:eastAsia="黑体" w:cs="宋体"/>
          <w:color w:val="auto"/>
          <w:szCs w:val="21"/>
          <w:highlight w:val="none"/>
        </w:rPr>
      </w:pPr>
      <w:r>
        <w:rPr>
          <w:rFonts w:hint="eastAsia" w:ascii="黑体" w:hAnsi="黑体" w:eastAsia="黑体" w:cs="宋体"/>
          <w:color w:val="auto"/>
          <w:szCs w:val="21"/>
          <w:highlight w:val="none"/>
        </w:rPr>
        <w:t>对于紧急问题不能在远程处理的，需2小时内到达现场处理。</w:t>
      </w:r>
    </w:p>
    <w:p w14:paraId="5A47DD23">
      <w:pPr>
        <w:pStyle w:val="14"/>
        <w:tabs>
          <w:tab w:val="left" w:pos="426"/>
        </w:tabs>
        <w:spacing w:line="360" w:lineRule="auto"/>
        <w:rPr>
          <w:rFonts w:ascii="黑体" w:hAnsi="黑体" w:eastAsia="黑体"/>
          <w:color w:val="auto"/>
          <w:szCs w:val="21"/>
          <w:highlight w:val="none"/>
        </w:rPr>
      </w:pPr>
      <w:r>
        <w:rPr>
          <w:rFonts w:hint="eastAsia" w:ascii="黑体" w:hAnsi="黑体" w:eastAsia="黑体" w:cs="宋体"/>
          <w:color w:val="auto"/>
          <w:szCs w:val="21"/>
          <w:highlight w:val="none"/>
        </w:rPr>
        <w:t>7、现场支持服务</w:t>
      </w:r>
    </w:p>
    <w:p w14:paraId="21770800">
      <w:pPr>
        <w:tabs>
          <w:tab w:val="left" w:pos="426"/>
        </w:tabs>
        <w:spacing w:line="360" w:lineRule="auto"/>
        <w:ind w:firstLine="420" w:firstLineChars="200"/>
        <w:rPr>
          <w:rFonts w:ascii="黑体" w:hAnsi="黑体" w:eastAsia="黑体"/>
          <w:color w:val="auto"/>
          <w:szCs w:val="21"/>
          <w:highlight w:val="none"/>
        </w:rPr>
      </w:pPr>
      <w:r>
        <w:rPr>
          <w:rFonts w:hint="eastAsia" w:ascii="黑体" w:hAnsi="黑体" w:eastAsia="黑体" w:cs="宋体"/>
          <w:color w:val="auto"/>
          <w:szCs w:val="21"/>
          <w:highlight w:val="none"/>
        </w:rPr>
        <w:t>对于部分紧急的需求变更或需求新增，需提供技术人员现场服务，并需在采购人指定的场所完成需求开发并实施完成。</w:t>
      </w:r>
    </w:p>
    <w:p w14:paraId="6C5D0CB3">
      <w:pPr>
        <w:pStyle w:val="14"/>
        <w:tabs>
          <w:tab w:val="left" w:pos="426"/>
        </w:tabs>
        <w:spacing w:line="360" w:lineRule="auto"/>
        <w:rPr>
          <w:rFonts w:ascii="黑体" w:hAnsi="黑体" w:eastAsia="黑体" w:cs="宋体"/>
          <w:color w:val="auto"/>
          <w:szCs w:val="21"/>
          <w:highlight w:val="none"/>
        </w:rPr>
      </w:pPr>
      <w:r>
        <w:rPr>
          <w:rFonts w:hint="eastAsia" w:ascii="黑体" w:hAnsi="黑体" w:eastAsia="黑体" w:cs="宋体"/>
          <w:color w:val="auto"/>
          <w:szCs w:val="21"/>
          <w:highlight w:val="none"/>
        </w:rPr>
        <w:t>8、上述运维服务事项产生的费用由中标人承担。</w:t>
      </w:r>
    </w:p>
    <w:p w14:paraId="4836F373">
      <w:pPr>
        <w:pStyle w:val="14"/>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九、各方责任</w:t>
      </w:r>
    </w:p>
    <w:p w14:paraId="27688459">
      <w:pPr>
        <w:tabs>
          <w:tab w:val="left" w:pos="426"/>
        </w:tabs>
        <w:spacing w:line="360" w:lineRule="auto"/>
        <w:ind w:firstLine="420" w:firstLineChars="200"/>
        <w:rPr>
          <w:rFonts w:ascii="黑体" w:hAnsi="黑体" w:eastAsia="黑体"/>
          <w:color w:val="auto"/>
          <w:highlight w:val="none"/>
        </w:rPr>
      </w:pPr>
      <w:r>
        <w:rPr>
          <w:rFonts w:hint="eastAsia" w:ascii="黑体" w:hAnsi="黑体" w:eastAsia="黑体"/>
          <w:color w:val="auto"/>
          <w:highlight w:val="none"/>
        </w:rPr>
        <w:t>采购人负责“诊疗一卡通”自助服务平台升级的总体协调、业务规则制定、业务功能规划，协调新旧银行做好过渡衔接工作等；协调市卫健局、市医保局负责提供本单位相关系统与社区“诊疗一卡通”平台对接所需的接口及服务；协调市政数局对报送的建设方案进行技术审查、提供符合信息技术应用创新要求的服务器资源等。中标人负责提供平台自助服务终端设备、配套软件产品开发、平台运营管理、功能升级维护、信息安全保障及相关民生、金融服务版块建设等各项工作，保证</w:t>
      </w:r>
      <w:r>
        <w:rPr>
          <w:rFonts w:hint="eastAsia" w:ascii="黑体" w:hAnsi="黑体" w:eastAsia="黑体"/>
          <w:bCs/>
          <w:color w:val="auto"/>
          <w:highlight w:val="none"/>
        </w:rPr>
        <w:t>“诊疗一卡通”平台</w:t>
      </w:r>
      <w:r>
        <w:rPr>
          <w:rFonts w:hint="eastAsia" w:ascii="黑体" w:hAnsi="黑体" w:eastAsia="黑体"/>
          <w:color w:val="auto"/>
          <w:highlight w:val="none"/>
        </w:rPr>
        <w:t>运行的连续性、完整性、系统性，保证在合作期内新政策及时实施。</w:t>
      </w:r>
    </w:p>
    <w:bookmarkEnd w:id="12"/>
    <w:p w14:paraId="6AF22048">
      <w:pPr>
        <w:pStyle w:val="16"/>
        <w:tabs>
          <w:tab w:val="left" w:pos="426"/>
        </w:tabs>
        <w:spacing w:beforeLines="50" w:line="360" w:lineRule="auto"/>
        <w:ind w:firstLine="413" w:firstLineChars="196"/>
        <w:rPr>
          <w:rFonts w:ascii="黑体" w:hAnsi="黑体" w:eastAsia="黑体"/>
          <w:b/>
          <w:color w:val="auto"/>
          <w:highlight w:val="none"/>
        </w:rPr>
      </w:pPr>
      <w:r>
        <w:rPr>
          <w:rFonts w:hint="eastAsia" w:ascii="黑体" w:hAnsi="黑体" w:eastAsia="黑体"/>
          <w:b/>
          <w:color w:val="auto"/>
          <w:highlight w:val="none"/>
        </w:rPr>
        <w:t>十、应急预案要求</w:t>
      </w:r>
    </w:p>
    <w:p w14:paraId="6FD891B6">
      <w:pPr>
        <w:pStyle w:val="14"/>
        <w:tabs>
          <w:tab w:val="left" w:pos="426"/>
        </w:tabs>
        <w:spacing w:line="360" w:lineRule="auto"/>
        <w:rPr>
          <w:rFonts w:ascii="黑体" w:hAnsi="黑体" w:eastAsia="黑体" w:cs="宋体"/>
          <w:color w:val="auto"/>
          <w:szCs w:val="21"/>
          <w:highlight w:val="none"/>
        </w:rPr>
      </w:pPr>
      <w:r>
        <w:rPr>
          <w:rFonts w:hint="eastAsia" w:ascii="黑体" w:hAnsi="黑体" w:eastAsia="黑体"/>
          <w:color w:val="auto"/>
          <w:szCs w:val="21"/>
          <w:highlight w:val="none"/>
        </w:rPr>
        <w:t>投标人需结合采购人的实际情况为本项目制定具体可行的应急方案，应急方案包含但不限于以下内容：①应急事件的分类和分级；②对应急事件的响应时间；③应急处理程序和突发事件的处理措施；④组织机构和工作职责等。</w:t>
      </w:r>
    </w:p>
    <w:p w14:paraId="52F53E4E">
      <w:pPr>
        <w:pStyle w:val="16"/>
        <w:tabs>
          <w:tab w:val="left" w:pos="426"/>
          <w:tab w:val="left" w:pos="709"/>
        </w:tabs>
        <w:spacing w:beforeLines="50" w:line="360" w:lineRule="auto"/>
        <w:ind w:firstLine="413" w:firstLineChars="196"/>
        <w:rPr>
          <w:rFonts w:ascii="黑体" w:hAnsi="黑体" w:eastAsia="黑体"/>
          <w:b/>
          <w:bCs/>
          <w:color w:val="auto"/>
          <w:szCs w:val="21"/>
          <w:highlight w:val="none"/>
        </w:rPr>
      </w:pPr>
      <w:r>
        <w:rPr>
          <w:rFonts w:hint="eastAsia" w:ascii="黑体" w:hAnsi="黑体" w:eastAsia="黑体"/>
          <w:b/>
          <w:bCs/>
          <w:color w:val="auto"/>
          <w:highlight w:val="none"/>
        </w:rPr>
        <w:t>十一、考核机制</w:t>
      </w:r>
    </w:p>
    <w:p w14:paraId="355AF0EE">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（一）对中标人的考核</w:t>
      </w:r>
    </w:p>
    <w:p w14:paraId="637F970A">
      <w:pPr>
        <w:tabs>
          <w:tab w:val="left" w:pos="426"/>
        </w:tabs>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合作期内，由采购人和中标人共同根据每年度终端运行情况、使用情况、市民投诉情况及其他因素对运维单位给予考核评定，并以此作为中标人对于本项目的验收情。</w:t>
      </w:r>
    </w:p>
    <w:p w14:paraId="7F332139">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（二）对后期招标采购回来的设备、运维单位的考核</w:t>
      </w:r>
    </w:p>
    <w:p w14:paraId="37252CA2">
      <w:pPr>
        <w:pStyle w:val="14"/>
        <w:spacing w:line="360" w:lineRule="auto"/>
        <w:ind w:left="420" w:firstLine="0" w:firstLineChars="0"/>
        <w:rPr>
          <w:rFonts w:ascii="黑体" w:hAnsi="黑体" w:eastAsia="黑体"/>
          <w:color w:val="auto"/>
          <w:szCs w:val="21"/>
          <w:highlight w:val="none"/>
        </w:rPr>
      </w:pPr>
      <w:r>
        <w:rPr>
          <w:rFonts w:hint="eastAsia" w:ascii="黑体" w:hAnsi="黑体" w:eastAsia="黑体"/>
          <w:color w:val="auto"/>
          <w:szCs w:val="21"/>
          <w:highlight w:val="none"/>
        </w:rPr>
        <w:t>考核质量指标如下：</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61"/>
        <w:gridCol w:w="1134"/>
        <w:gridCol w:w="708"/>
        <w:gridCol w:w="1985"/>
        <w:gridCol w:w="1757"/>
      </w:tblGrid>
      <w:tr w14:paraId="6D02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83" w:type="dxa"/>
            <w:vAlign w:val="center"/>
          </w:tcPr>
          <w:p w14:paraId="59B11541">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考核内容</w:t>
            </w:r>
          </w:p>
        </w:tc>
        <w:tc>
          <w:tcPr>
            <w:tcW w:w="1561" w:type="dxa"/>
            <w:vAlign w:val="center"/>
          </w:tcPr>
          <w:p w14:paraId="30E80F8E">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要求</w:t>
            </w:r>
          </w:p>
        </w:tc>
        <w:tc>
          <w:tcPr>
            <w:tcW w:w="1134" w:type="dxa"/>
            <w:vAlign w:val="center"/>
          </w:tcPr>
          <w:p w14:paraId="43679F34">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达标标准</w:t>
            </w:r>
          </w:p>
        </w:tc>
        <w:tc>
          <w:tcPr>
            <w:tcW w:w="708" w:type="dxa"/>
            <w:vAlign w:val="center"/>
          </w:tcPr>
          <w:p w14:paraId="6497929A">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分数</w:t>
            </w:r>
          </w:p>
        </w:tc>
        <w:tc>
          <w:tcPr>
            <w:tcW w:w="1985" w:type="dxa"/>
            <w:vAlign w:val="center"/>
          </w:tcPr>
          <w:p w14:paraId="4E241D73">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数据来源</w:t>
            </w:r>
          </w:p>
        </w:tc>
        <w:tc>
          <w:tcPr>
            <w:tcW w:w="1757" w:type="dxa"/>
            <w:vAlign w:val="center"/>
          </w:tcPr>
          <w:p w14:paraId="7146E8DD">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评分规则</w:t>
            </w:r>
          </w:p>
        </w:tc>
      </w:tr>
      <w:tr w14:paraId="1FE2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383" w:type="dxa"/>
            <w:vAlign w:val="center"/>
          </w:tcPr>
          <w:p w14:paraId="5F5D0067">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故障修复及时率</w:t>
            </w:r>
          </w:p>
        </w:tc>
        <w:tc>
          <w:tcPr>
            <w:tcW w:w="1561" w:type="dxa"/>
            <w:vAlign w:val="center"/>
          </w:tcPr>
          <w:p w14:paraId="1404B477">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规定时限内恢复使用</w:t>
            </w:r>
          </w:p>
        </w:tc>
        <w:tc>
          <w:tcPr>
            <w:tcW w:w="1134" w:type="dxa"/>
            <w:vAlign w:val="center"/>
          </w:tcPr>
          <w:p w14:paraId="017F7DED">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≥9</w:t>
            </w:r>
            <w:r>
              <w:rPr>
                <w:rFonts w:hint="eastAsia" w:ascii="黑体" w:hAnsi="黑体" w:eastAsia="黑体" w:cs="宋体"/>
                <w:color w:val="auto"/>
                <w:kern w:val="0"/>
                <w:szCs w:val="21"/>
                <w:highlight w:val="none"/>
              </w:rPr>
              <w:t>5</w:t>
            </w:r>
            <w:r>
              <w:rPr>
                <w:rFonts w:ascii="黑体" w:hAnsi="黑体" w:eastAsia="黑体" w:cs="宋体"/>
                <w:color w:val="auto"/>
                <w:kern w:val="0"/>
                <w:szCs w:val="21"/>
                <w:highlight w:val="none"/>
              </w:rPr>
              <w:t>%</w:t>
            </w:r>
          </w:p>
        </w:tc>
        <w:tc>
          <w:tcPr>
            <w:tcW w:w="708" w:type="dxa"/>
            <w:vAlign w:val="center"/>
          </w:tcPr>
          <w:p w14:paraId="3C388A86">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70</w:t>
            </w:r>
          </w:p>
        </w:tc>
        <w:tc>
          <w:tcPr>
            <w:tcW w:w="1985" w:type="dxa"/>
            <w:vAlign w:val="center"/>
          </w:tcPr>
          <w:p w14:paraId="01AEC698">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客户确认的现场服务单（或系统记录）</w:t>
            </w:r>
          </w:p>
        </w:tc>
        <w:tc>
          <w:tcPr>
            <w:tcW w:w="1757" w:type="dxa"/>
            <w:vAlign w:val="center"/>
          </w:tcPr>
          <w:p w14:paraId="24651CE8">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低于95%每降</w:t>
            </w:r>
            <w:r>
              <w:rPr>
                <w:rFonts w:ascii="黑体" w:hAnsi="黑体" w:eastAsia="黑体" w:cs="宋体"/>
                <w:color w:val="auto"/>
                <w:kern w:val="0"/>
                <w:szCs w:val="21"/>
                <w:highlight w:val="none"/>
              </w:rPr>
              <w:t>1</w:t>
            </w:r>
            <w:r>
              <w:rPr>
                <w:rFonts w:hint="eastAsia" w:ascii="黑体" w:hAnsi="黑体" w:eastAsia="黑体" w:cs="宋体"/>
                <w:color w:val="auto"/>
                <w:kern w:val="0"/>
                <w:szCs w:val="21"/>
                <w:highlight w:val="none"/>
              </w:rPr>
              <w:t>个百分点扣</w:t>
            </w:r>
            <w:r>
              <w:rPr>
                <w:rFonts w:ascii="黑体" w:hAnsi="黑体" w:eastAsia="黑体" w:cs="宋体"/>
                <w:color w:val="auto"/>
                <w:kern w:val="0"/>
                <w:szCs w:val="21"/>
                <w:highlight w:val="none"/>
              </w:rPr>
              <w:t>1</w:t>
            </w:r>
            <w:r>
              <w:rPr>
                <w:rFonts w:hint="eastAsia" w:ascii="黑体" w:hAnsi="黑体" w:eastAsia="黑体" w:cs="宋体"/>
                <w:color w:val="auto"/>
                <w:kern w:val="0"/>
                <w:szCs w:val="21"/>
                <w:highlight w:val="none"/>
              </w:rPr>
              <w:t>分，扣完为止。</w:t>
            </w:r>
          </w:p>
        </w:tc>
      </w:tr>
      <w:tr w14:paraId="4758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383" w:type="dxa"/>
            <w:vAlign w:val="center"/>
          </w:tcPr>
          <w:p w14:paraId="107019B7">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巡检率</w:t>
            </w:r>
          </w:p>
        </w:tc>
        <w:tc>
          <w:tcPr>
            <w:tcW w:w="1561" w:type="dxa"/>
            <w:vAlign w:val="center"/>
          </w:tcPr>
          <w:p w14:paraId="26E42AD3">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巡检、清洁周期为每季度</w:t>
            </w:r>
            <w:r>
              <w:rPr>
                <w:rFonts w:ascii="黑体" w:hAnsi="黑体" w:eastAsia="黑体" w:cs="宋体"/>
                <w:color w:val="auto"/>
                <w:kern w:val="0"/>
                <w:szCs w:val="21"/>
                <w:highlight w:val="none"/>
              </w:rPr>
              <w:t>1</w:t>
            </w:r>
            <w:r>
              <w:rPr>
                <w:rFonts w:hint="eastAsia" w:ascii="黑体" w:hAnsi="黑体" w:eastAsia="黑体" w:cs="宋体"/>
                <w:color w:val="auto"/>
                <w:kern w:val="0"/>
                <w:szCs w:val="21"/>
                <w:highlight w:val="none"/>
              </w:rPr>
              <w:t>次</w:t>
            </w:r>
          </w:p>
        </w:tc>
        <w:tc>
          <w:tcPr>
            <w:tcW w:w="1134" w:type="dxa"/>
            <w:vAlign w:val="center"/>
          </w:tcPr>
          <w:p w14:paraId="785A922C">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≥90%</w:t>
            </w:r>
          </w:p>
        </w:tc>
        <w:tc>
          <w:tcPr>
            <w:tcW w:w="708" w:type="dxa"/>
            <w:vAlign w:val="center"/>
          </w:tcPr>
          <w:p w14:paraId="3036C8E5">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20</w:t>
            </w:r>
          </w:p>
        </w:tc>
        <w:tc>
          <w:tcPr>
            <w:tcW w:w="1985" w:type="dxa"/>
            <w:vAlign w:val="center"/>
          </w:tcPr>
          <w:p w14:paraId="0C280FC5">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客户确认的现场服务单（或系统记录）</w:t>
            </w:r>
          </w:p>
        </w:tc>
        <w:tc>
          <w:tcPr>
            <w:tcW w:w="1757" w:type="dxa"/>
            <w:vAlign w:val="center"/>
          </w:tcPr>
          <w:p w14:paraId="374F0074">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低于</w:t>
            </w:r>
            <w:r>
              <w:rPr>
                <w:rFonts w:ascii="黑体" w:hAnsi="黑体" w:eastAsia="黑体" w:cs="宋体"/>
                <w:color w:val="auto"/>
                <w:kern w:val="0"/>
                <w:szCs w:val="21"/>
                <w:highlight w:val="none"/>
              </w:rPr>
              <w:t>90</w:t>
            </w:r>
            <w:r>
              <w:rPr>
                <w:rFonts w:hint="eastAsia" w:ascii="黑体" w:hAnsi="黑体" w:eastAsia="黑体" w:cs="宋体"/>
                <w:color w:val="auto"/>
                <w:kern w:val="0"/>
                <w:szCs w:val="21"/>
                <w:highlight w:val="none"/>
              </w:rPr>
              <w:t>%每降</w:t>
            </w:r>
            <w:r>
              <w:rPr>
                <w:rFonts w:ascii="黑体" w:hAnsi="黑体" w:eastAsia="黑体" w:cs="宋体"/>
                <w:color w:val="auto"/>
                <w:kern w:val="0"/>
                <w:szCs w:val="21"/>
                <w:highlight w:val="none"/>
              </w:rPr>
              <w:t>1</w:t>
            </w:r>
            <w:r>
              <w:rPr>
                <w:rFonts w:hint="eastAsia" w:ascii="黑体" w:hAnsi="黑体" w:eastAsia="黑体" w:cs="宋体"/>
                <w:color w:val="auto"/>
                <w:kern w:val="0"/>
                <w:szCs w:val="21"/>
                <w:highlight w:val="none"/>
              </w:rPr>
              <w:t>个百分点扣</w:t>
            </w:r>
            <w:r>
              <w:rPr>
                <w:rFonts w:ascii="黑体" w:hAnsi="黑体" w:eastAsia="黑体" w:cs="宋体"/>
                <w:color w:val="auto"/>
                <w:kern w:val="0"/>
                <w:szCs w:val="21"/>
                <w:highlight w:val="none"/>
              </w:rPr>
              <w:t>0.5</w:t>
            </w:r>
            <w:r>
              <w:rPr>
                <w:rFonts w:hint="eastAsia" w:ascii="黑体" w:hAnsi="黑体" w:eastAsia="黑体" w:cs="宋体"/>
                <w:color w:val="auto"/>
                <w:kern w:val="0"/>
                <w:szCs w:val="21"/>
                <w:highlight w:val="none"/>
              </w:rPr>
              <w:t>分，扣完为止。</w:t>
            </w:r>
          </w:p>
        </w:tc>
      </w:tr>
      <w:tr w14:paraId="4694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83" w:type="dxa"/>
            <w:vAlign w:val="center"/>
          </w:tcPr>
          <w:p w14:paraId="6D7B560C">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资料提交及时率</w:t>
            </w:r>
          </w:p>
        </w:tc>
        <w:tc>
          <w:tcPr>
            <w:tcW w:w="1561" w:type="dxa"/>
            <w:vAlign w:val="center"/>
          </w:tcPr>
          <w:p w14:paraId="79B06ED1">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每季度更新一次</w:t>
            </w:r>
          </w:p>
        </w:tc>
        <w:tc>
          <w:tcPr>
            <w:tcW w:w="1134" w:type="dxa"/>
            <w:vAlign w:val="center"/>
          </w:tcPr>
          <w:p w14:paraId="692B929A">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100%</w:t>
            </w:r>
          </w:p>
        </w:tc>
        <w:tc>
          <w:tcPr>
            <w:tcW w:w="708" w:type="dxa"/>
            <w:vAlign w:val="center"/>
          </w:tcPr>
          <w:p w14:paraId="5D5A2C70">
            <w:pPr>
              <w:widowControl/>
              <w:spacing w:line="360" w:lineRule="auto"/>
              <w:jc w:val="center"/>
              <w:rPr>
                <w:rFonts w:ascii="黑体" w:hAnsi="黑体" w:eastAsia="黑体" w:cs="宋体"/>
                <w:color w:val="auto"/>
                <w:kern w:val="0"/>
                <w:szCs w:val="21"/>
                <w:highlight w:val="none"/>
              </w:rPr>
            </w:pPr>
            <w:r>
              <w:rPr>
                <w:rFonts w:ascii="黑体" w:hAnsi="黑体" w:eastAsia="黑体" w:cs="宋体"/>
                <w:color w:val="auto"/>
                <w:kern w:val="0"/>
                <w:szCs w:val="21"/>
                <w:highlight w:val="none"/>
              </w:rPr>
              <w:t>10</w:t>
            </w:r>
          </w:p>
        </w:tc>
        <w:tc>
          <w:tcPr>
            <w:tcW w:w="1985" w:type="dxa"/>
            <w:vAlign w:val="center"/>
          </w:tcPr>
          <w:p w14:paraId="02C54D42">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服务报告等</w:t>
            </w:r>
          </w:p>
        </w:tc>
        <w:tc>
          <w:tcPr>
            <w:tcW w:w="1757" w:type="dxa"/>
            <w:vAlign w:val="center"/>
          </w:tcPr>
          <w:p w14:paraId="0F420AD0">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每次迟交或未交扣</w:t>
            </w:r>
            <w:r>
              <w:rPr>
                <w:rFonts w:ascii="黑体" w:hAnsi="黑体" w:eastAsia="黑体" w:cs="宋体"/>
                <w:color w:val="auto"/>
                <w:kern w:val="0"/>
                <w:szCs w:val="21"/>
                <w:highlight w:val="none"/>
              </w:rPr>
              <w:t>1</w:t>
            </w:r>
            <w:r>
              <w:rPr>
                <w:rFonts w:hint="eastAsia" w:ascii="黑体" w:hAnsi="黑体" w:eastAsia="黑体" w:cs="宋体"/>
                <w:color w:val="auto"/>
                <w:kern w:val="0"/>
                <w:szCs w:val="21"/>
                <w:highlight w:val="none"/>
              </w:rPr>
              <w:t>分。</w:t>
            </w:r>
          </w:p>
        </w:tc>
      </w:tr>
      <w:tr w14:paraId="3ACB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83" w:type="dxa"/>
            <w:vAlign w:val="center"/>
          </w:tcPr>
          <w:p w14:paraId="6E4862DA">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用户有理投诉</w:t>
            </w:r>
          </w:p>
        </w:tc>
        <w:tc>
          <w:tcPr>
            <w:tcW w:w="1561" w:type="dxa"/>
            <w:vAlign w:val="center"/>
          </w:tcPr>
          <w:p w14:paraId="49D34CE1">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由于中标人原因上引起客户的合理投诉</w:t>
            </w:r>
          </w:p>
        </w:tc>
        <w:tc>
          <w:tcPr>
            <w:tcW w:w="1134" w:type="dxa"/>
            <w:vAlign w:val="center"/>
          </w:tcPr>
          <w:p w14:paraId="0C4214ED">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w:t>
            </w:r>
          </w:p>
        </w:tc>
        <w:tc>
          <w:tcPr>
            <w:tcW w:w="708" w:type="dxa"/>
            <w:vAlign w:val="center"/>
          </w:tcPr>
          <w:p w14:paraId="798CD527">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w:t>
            </w:r>
          </w:p>
        </w:tc>
        <w:tc>
          <w:tcPr>
            <w:tcW w:w="1985" w:type="dxa"/>
            <w:vAlign w:val="center"/>
          </w:tcPr>
          <w:p w14:paraId="757784B2">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客户确认的现场服务单（或系统记录）</w:t>
            </w:r>
          </w:p>
        </w:tc>
        <w:tc>
          <w:tcPr>
            <w:tcW w:w="1757" w:type="dxa"/>
            <w:vAlign w:val="center"/>
          </w:tcPr>
          <w:p w14:paraId="15C5EC06">
            <w:pPr>
              <w:widowControl/>
              <w:spacing w:line="360" w:lineRule="auto"/>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严重投诉每单扣</w:t>
            </w:r>
            <w:r>
              <w:rPr>
                <w:rFonts w:ascii="黑体" w:hAnsi="黑体" w:eastAsia="黑体" w:cs="宋体"/>
                <w:color w:val="auto"/>
                <w:kern w:val="0"/>
                <w:szCs w:val="21"/>
                <w:highlight w:val="none"/>
              </w:rPr>
              <w:t>5</w:t>
            </w:r>
            <w:r>
              <w:rPr>
                <w:rFonts w:hint="eastAsia" w:ascii="黑体" w:hAnsi="黑体" w:eastAsia="黑体" w:cs="宋体"/>
                <w:color w:val="auto"/>
                <w:kern w:val="0"/>
                <w:szCs w:val="21"/>
                <w:highlight w:val="none"/>
              </w:rPr>
              <w:t>分；一般投诉每单扣</w:t>
            </w:r>
            <w:r>
              <w:rPr>
                <w:rFonts w:ascii="黑体" w:hAnsi="黑体" w:eastAsia="黑体" w:cs="宋体"/>
                <w:color w:val="auto"/>
                <w:kern w:val="0"/>
                <w:szCs w:val="21"/>
                <w:highlight w:val="none"/>
              </w:rPr>
              <w:t>2</w:t>
            </w:r>
            <w:r>
              <w:rPr>
                <w:rFonts w:hint="eastAsia" w:ascii="黑体" w:hAnsi="黑体" w:eastAsia="黑体" w:cs="宋体"/>
                <w:color w:val="auto"/>
                <w:kern w:val="0"/>
                <w:szCs w:val="21"/>
                <w:highlight w:val="none"/>
              </w:rPr>
              <w:t>分。</w:t>
            </w:r>
          </w:p>
        </w:tc>
      </w:tr>
    </w:tbl>
    <w:p w14:paraId="1453B9EA">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（三）</w:t>
      </w:r>
      <w:r>
        <w:rPr>
          <w:rFonts w:ascii="黑体" w:hAnsi="黑体" w:eastAsia="黑体"/>
          <w:color w:val="auto"/>
          <w:szCs w:val="21"/>
          <w:highlight w:val="none"/>
        </w:rPr>
        <w:t>考核标准计算方法</w:t>
      </w:r>
    </w:p>
    <w:p w14:paraId="5DD6326F">
      <w:pPr>
        <w:spacing w:line="360" w:lineRule="auto"/>
        <w:ind w:firstLine="420" w:firstLineChars="200"/>
        <w:rPr>
          <w:rFonts w:ascii="黑体" w:hAnsi="黑体" w:eastAsia="黑体"/>
          <w:color w:val="auto"/>
          <w:szCs w:val="21"/>
          <w:highlight w:val="none"/>
        </w:rPr>
      </w:pPr>
      <w:r>
        <w:rPr>
          <w:rFonts w:hint="eastAsia" w:ascii="黑体" w:hAnsi="黑体" w:eastAsia="黑体"/>
          <w:bCs/>
          <w:color w:val="auto"/>
          <w:szCs w:val="21"/>
          <w:highlight w:val="none"/>
        </w:rPr>
        <w:t>运维单位</w:t>
      </w:r>
      <w:r>
        <w:rPr>
          <w:rFonts w:ascii="黑体" w:hAnsi="黑体" w:eastAsia="黑体"/>
          <w:color w:val="auto"/>
          <w:szCs w:val="21"/>
          <w:highlight w:val="none"/>
        </w:rPr>
        <w:t>服务质量中各项考核指标计算方法分别为：</w:t>
      </w:r>
    </w:p>
    <w:p w14:paraId="26AD7233">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1、</w:t>
      </w:r>
      <w:r>
        <w:rPr>
          <w:rFonts w:ascii="黑体" w:hAnsi="黑体" w:eastAsia="黑体"/>
          <w:color w:val="auto"/>
          <w:szCs w:val="21"/>
          <w:highlight w:val="none"/>
        </w:rPr>
        <w:t>故障修复及时率=(按时修复的故障数/故障总数)×100%，其中：故障总数为所考核系统发生故障的总次数；按时修复的故障数为在规定时限内修复的故障次数。</w:t>
      </w:r>
    </w:p>
    <w:p w14:paraId="54C45F88">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2、</w:t>
      </w:r>
      <w:r>
        <w:rPr>
          <w:rFonts w:ascii="黑体" w:hAnsi="黑体" w:eastAsia="黑体"/>
          <w:color w:val="auto"/>
          <w:szCs w:val="21"/>
          <w:highlight w:val="none"/>
        </w:rPr>
        <w:t>巡检率=(实际巡检的次数/应巡检总次数)×100%，其中：实际巡检的次数为在合同规定时间内实际已作巡检的次数；应巡检总次数为合同规定的巡检总次数。</w:t>
      </w:r>
    </w:p>
    <w:p w14:paraId="648CD7C5">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3、</w:t>
      </w:r>
      <w:r>
        <w:rPr>
          <w:rFonts w:ascii="黑体" w:hAnsi="黑体" w:eastAsia="黑体"/>
          <w:color w:val="auto"/>
          <w:szCs w:val="21"/>
          <w:highlight w:val="none"/>
        </w:rPr>
        <w:t>资料提交及时率：双方商定所需提交的资料报表，包括结算用的报表、故障分析总结报告、季度巡检计划、季度巡检报告等。</w:t>
      </w:r>
    </w:p>
    <w:p w14:paraId="7185F30C">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4、</w:t>
      </w:r>
      <w:r>
        <w:rPr>
          <w:rFonts w:ascii="黑体" w:hAnsi="黑体" w:eastAsia="黑体"/>
          <w:color w:val="auto"/>
          <w:szCs w:val="21"/>
          <w:highlight w:val="none"/>
        </w:rPr>
        <w:t>用户有理投诉：对</w:t>
      </w:r>
      <w:r>
        <w:rPr>
          <w:rFonts w:hint="eastAsia" w:ascii="黑体" w:hAnsi="黑体" w:eastAsia="黑体"/>
          <w:bCs/>
          <w:color w:val="auto"/>
          <w:szCs w:val="21"/>
          <w:highlight w:val="none"/>
        </w:rPr>
        <w:t>运维单位</w:t>
      </w:r>
      <w:r>
        <w:rPr>
          <w:rFonts w:ascii="黑体" w:hAnsi="黑体" w:eastAsia="黑体"/>
          <w:color w:val="auto"/>
          <w:szCs w:val="21"/>
          <w:highlight w:val="none"/>
        </w:rPr>
        <w:t>服务质量的评定，由于</w:t>
      </w:r>
      <w:r>
        <w:rPr>
          <w:rFonts w:hint="eastAsia" w:ascii="黑体" w:hAnsi="黑体" w:eastAsia="黑体"/>
          <w:bCs/>
          <w:color w:val="auto"/>
          <w:szCs w:val="21"/>
          <w:highlight w:val="none"/>
        </w:rPr>
        <w:t>运维单位</w:t>
      </w:r>
      <w:r>
        <w:rPr>
          <w:rFonts w:ascii="黑体" w:hAnsi="黑体" w:eastAsia="黑体"/>
          <w:color w:val="auto"/>
          <w:szCs w:val="21"/>
          <w:highlight w:val="none"/>
        </w:rPr>
        <w:t>原因上引起客户的合理投诉。严重投诉指在局部范围造成一定影响的投诉；一般投诉指在个别范围内造成一定影响的投诉。</w:t>
      </w:r>
    </w:p>
    <w:p w14:paraId="03D5F4D9">
      <w:pPr>
        <w:pStyle w:val="14"/>
        <w:tabs>
          <w:tab w:val="left" w:pos="426"/>
        </w:tabs>
        <w:spacing w:line="360" w:lineRule="auto"/>
        <w:rPr>
          <w:rFonts w:ascii="黑体" w:hAnsi="黑体" w:eastAsia="黑体"/>
          <w:color w:val="auto"/>
          <w:szCs w:val="21"/>
          <w:highlight w:val="none"/>
        </w:rPr>
      </w:pPr>
      <w:r>
        <w:rPr>
          <w:rFonts w:hint="eastAsia" w:ascii="黑体" w:hAnsi="黑体" w:eastAsia="黑体"/>
          <w:color w:val="auto"/>
          <w:szCs w:val="21"/>
          <w:highlight w:val="none"/>
        </w:rPr>
        <w:t>（四）</w:t>
      </w:r>
      <w:r>
        <w:rPr>
          <w:rFonts w:hint="eastAsia" w:ascii="黑体" w:hAnsi="黑体" w:eastAsia="黑体" w:cs="宋体"/>
          <w:color w:val="auto"/>
          <w:szCs w:val="21"/>
          <w:highlight w:val="none"/>
        </w:rPr>
        <w:t>考核分数不达标时的处理</w:t>
      </w:r>
    </w:p>
    <w:p w14:paraId="14C1570C">
      <w:pPr>
        <w:spacing w:line="360" w:lineRule="auto"/>
        <w:ind w:firstLine="420" w:firstLineChars="200"/>
        <w:rPr>
          <w:rFonts w:ascii="黑体" w:hAnsi="黑体" w:eastAsia="黑体"/>
          <w:color w:val="auto"/>
          <w:szCs w:val="21"/>
          <w:highlight w:val="none"/>
        </w:rPr>
      </w:pPr>
      <w:r>
        <w:rPr>
          <w:rFonts w:ascii="黑体" w:hAnsi="黑体" w:eastAsia="黑体"/>
          <w:color w:val="auto"/>
          <w:szCs w:val="21"/>
          <w:highlight w:val="none"/>
        </w:rPr>
        <w:t>当</w:t>
      </w:r>
      <w:r>
        <w:rPr>
          <w:rFonts w:hint="eastAsia" w:ascii="黑体" w:hAnsi="黑体" w:eastAsia="黑体"/>
          <w:bCs/>
          <w:color w:val="auto"/>
          <w:szCs w:val="21"/>
          <w:highlight w:val="none"/>
        </w:rPr>
        <w:t>运维单位</w:t>
      </w:r>
      <w:r>
        <w:rPr>
          <w:rFonts w:ascii="黑体" w:hAnsi="黑体" w:eastAsia="黑体"/>
          <w:color w:val="auto"/>
          <w:szCs w:val="21"/>
          <w:highlight w:val="none"/>
        </w:rPr>
        <w:t>考核得分少于60分或连续两期考核得分少于70分时，</w:t>
      </w:r>
      <w:r>
        <w:rPr>
          <w:rFonts w:hint="eastAsia" w:ascii="黑体" w:hAnsi="黑体" w:eastAsia="黑体"/>
          <w:color w:val="auto"/>
          <w:szCs w:val="21"/>
          <w:highlight w:val="none"/>
        </w:rPr>
        <w:t>采购人</w:t>
      </w:r>
      <w:r>
        <w:rPr>
          <w:rFonts w:ascii="黑体" w:hAnsi="黑体" w:eastAsia="黑体"/>
          <w:color w:val="auto"/>
          <w:szCs w:val="21"/>
          <w:highlight w:val="none"/>
        </w:rPr>
        <w:t>有权终止</w:t>
      </w:r>
      <w:r>
        <w:rPr>
          <w:rFonts w:hint="eastAsia" w:ascii="黑体" w:hAnsi="黑体" w:eastAsia="黑体"/>
          <w:color w:val="auto"/>
          <w:szCs w:val="21"/>
          <w:highlight w:val="none"/>
        </w:rPr>
        <w:t>与中标人的合作协议</w:t>
      </w:r>
      <w:r>
        <w:rPr>
          <w:rFonts w:ascii="黑体" w:hAnsi="黑体" w:eastAsia="黑体"/>
          <w:color w:val="auto"/>
          <w:szCs w:val="21"/>
          <w:highlight w:val="none"/>
        </w:rPr>
        <w:t>，并取消其</w:t>
      </w:r>
      <w:r>
        <w:rPr>
          <w:rFonts w:hint="eastAsia" w:ascii="黑体" w:hAnsi="黑体" w:eastAsia="黑体"/>
          <w:color w:val="auto"/>
          <w:szCs w:val="21"/>
          <w:highlight w:val="none"/>
        </w:rPr>
        <w:t>合作</w:t>
      </w:r>
      <w:r>
        <w:rPr>
          <w:rFonts w:ascii="黑体" w:hAnsi="黑体" w:eastAsia="黑体"/>
          <w:color w:val="auto"/>
          <w:szCs w:val="21"/>
          <w:highlight w:val="none"/>
        </w:rPr>
        <w:t>资格</w:t>
      </w:r>
      <w:r>
        <w:rPr>
          <w:rFonts w:hint="eastAsia" w:ascii="黑体" w:hAnsi="黑体" w:eastAsia="黑体"/>
          <w:color w:val="auto"/>
          <w:szCs w:val="21"/>
          <w:highlight w:val="none"/>
        </w:rPr>
        <w:t>，</w:t>
      </w:r>
      <w:r>
        <w:rPr>
          <w:rFonts w:ascii="黑体" w:hAnsi="黑体" w:eastAsia="黑体"/>
          <w:color w:val="auto"/>
          <w:szCs w:val="21"/>
          <w:highlight w:val="none"/>
        </w:rPr>
        <w:t>中标</w:t>
      </w:r>
      <w:r>
        <w:rPr>
          <w:rFonts w:hint="eastAsia" w:ascii="黑体" w:hAnsi="黑体" w:eastAsia="黑体"/>
          <w:color w:val="auto"/>
          <w:szCs w:val="21"/>
          <w:highlight w:val="none"/>
        </w:rPr>
        <w:t>人</w:t>
      </w:r>
      <w:r>
        <w:rPr>
          <w:rFonts w:ascii="黑体" w:hAnsi="黑体" w:eastAsia="黑体"/>
          <w:color w:val="auto"/>
          <w:szCs w:val="21"/>
          <w:highlight w:val="none"/>
        </w:rPr>
        <w:t>需承担所有违约责任。</w:t>
      </w:r>
    </w:p>
    <w:p w14:paraId="1043AD43">
      <w:pPr>
        <w:pStyle w:val="16"/>
        <w:tabs>
          <w:tab w:val="left" w:pos="426"/>
          <w:tab w:val="left" w:pos="709"/>
        </w:tabs>
        <w:spacing w:beforeLines="50" w:line="360" w:lineRule="auto"/>
        <w:ind w:firstLine="413" w:firstLineChars="196"/>
        <w:rPr>
          <w:rFonts w:ascii="黑体" w:hAnsi="黑体" w:eastAsia="黑体"/>
          <w:b/>
          <w:bCs/>
          <w:color w:val="auto"/>
          <w:szCs w:val="21"/>
          <w:highlight w:val="none"/>
        </w:rPr>
      </w:pPr>
      <w:r>
        <w:rPr>
          <w:rFonts w:hint="eastAsia" w:ascii="黑体" w:hAnsi="黑体" w:eastAsia="黑体"/>
          <w:b/>
          <w:bCs/>
          <w:color w:val="auto"/>
          <w:szCs w:val="21"/>
          <w:highlight w:val="none"/>
        </w:rPr>
        <w:t>十二、硬件、软件著作权要求</w:t>
      </w:r>
    </w:p>
    <w:p w14:paraId="7BEAB194">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（一）硬件设备所有权归属</w:t>
      </w:r>
    </w:p>
    <w:p w14:paraId="5E6C06D7">
      <w:pPr>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中标人投入的硬件设备所有权归中标人所有，采购人具有使用权。</w:t>
      </w:r>
    </w:p>
    <w:p w14:paraId="44570546">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（二）软件所有权归属</w:t>
      </w:r>
    </w:p>
    <w:p w14:paraId="702B3DFC">
      <w:pPr>
        <w:pStyle w:val="14"/>
        <w:tabs>
          <w:tab w:val="left" w:pos="426"/>
        </w:tabs>
        <w:spacing w:line="360" w:lineRule="auto"/>
        <w:ind w:left="420" w:firstLine="0" w:firstLineChars="0"/>
        <w:rPr>
          <w:rFonts w:ascii="黑体" w:hAnsi="黑体" w:eastAsia="黑体"/>
          <w:bCs/>
          <w:color w:val="auto"/>
          <w:szCs w:val="21"/>
          <w:highlight w:val="none"/>
        </w:rPr>
      </w:pPr>
      <w:r>
        <w:rPr>
          <w:rFonts w:hint="eastAsia" w:ascii="黑体" w:hAnsi="黑体" w:eastAsia="黑体"/>
          <w:bCs/>
          <w:color w:val="auto"/>
          <w:szCs w:val="21"/>
          <w:highlight w:val="none"/>
        </w:rPr>
        <w:t>中标人投入的软件资产归属政府所有。</w:t>
      </w:r>
    </w:p>
    <w:p w14:paraId="5B2E8C9B">
      <w:pPr>
        <w:pStyle w:val="16"/>
        <w:tabs>
          <w:tab w:val="left" w:pos="426"/>
          <w:tab w:val="left" w:pos="709"/>
        </w:tabs>
        <w:spacing w:beforeLines="50" w:line="360" w:lineRule="auto"/>
        <w:ind w:firstLine="413" w:firstLineChars="196"/>
        <w:rPr>
          <w:rFonts w:ascii="黑体" w:hAnsi="黑体" w:eastAsia="黑体"/>
          <w:b/>
          <w:bCs/>
          <w:color w:val="auto"/>
          <w:szCs w:val="21"/>
          <w:highlight w:val="none"/>
        </w:rPr>
      </w:pPr>
      <w:r>
        <w:rPr>
          <w:rFonts w:hint="eastAsia" w:ascii="黑体" w:hAnsi="黑体" w:eastAsia="黑体"/>
          <w:b/>
          <w:bCs/>
          <w:color w:val="auto"/>
          <w:szCs w:val="21"/>
          <w:highlight w:val="none"/>
        </w:rPr>
        <w:t>十三、保密安全要求</w:t>
      </w:r>
    </w:p>
    <w:p w14:paraId="1289041D">
      <w:pPr>
        <w:pStyle w:val="14"/>
        <w:tabs>
          <w:tab w:val="left" w:pos="426"/>
        </w:tabs>
        <w:spacing w:line="360" w:lineRule="auto"/>
        <w:rPr>
          <w:rFonts w:ascii="黑体" w:hAnsi="黑体" w:eastAsia="黑体"/>
          <w:bCs/>
          <w:color w:val="auto"/>
          <w:szCs w:val="21"/>
          <w:highlight w:val="none"/>
        </w:rPr>
      </w:pPr>
      <w:bookmarkStart w:id="13" w:name="_Hlk28277135"/>
      <w:r>
        <w:rPr>
          <w:rFonts w:hint="eastAsia" w:ascii="黑体" w:hAnsi="黑体" w:eastAsia="黑体"/>
          <w:bCs/>
          <w:color w:val="auto"/>
          <w:szCs w:val="21"/>
          <w:highlight w:val="none"/>
        </w:rPr>
        <w:t>（一）★中标人须与采购人签署保密协议书，保证不向外泄露平台的所有资料及用作其他用途。中标人负责约束其所属员工。如维护服务人员发生泄密事件，一切后果由中标人承担。同时，采购人有权单方面取消合同。</w:t>
      </w:r>
    </w:p>
    <w:p w14:paraId="76C5E88C">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olor w:val="auto"/>
          <w:szCs w:val="21"/>
          <w:highlight w:val="none"/>
        </w:rPr>
        <w:t>（二）</w:t>
      </w:r>
      <w:r>
        <w:rPr>
          <w:rFonts w:ascii="黑体" w:hAnsi="黑体" w:eastAsia="黑体"/>
          <w:color w:val="auto"/>
          <w:szCs w:val="21"/>
          <w:highlight w:val="none"/>
        </w:rPr>
        <w:t>维护服务人员应严格遵守有关法规和政府内部规章制度，不得擅自翻阅、复制、传播所接触的用户资料或数据。</w:t>
      </w:r>
    </w:p>
    <w:p w14:paraId="1DEB65B7">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bCs/>
          <w:color w:val="auto"/>
          <w:szCs w:val="21"/>
          <w:highlight w:val="none"/>
        </w:rPr>
        <w:t>（三）若需要更换设备，原设备需要先进行数据清洗，删除敏感数据并经采购人检验后再回收。</w:t>
      </w:r>
    </w:p>
    <w:p w14:paraId="3D25D220">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s="宋体"/>
          <w:color w:val="auto"/>
          <w:szCs w:val="21"/>
          <w:highlight w:val="none"/>
        </w:rPr>
        <w:t>（四）中标人需要建立完善的项目安全保密管理制度，明确安全岗位责任，项目实施过程中，中标人需要严格遵守保密制度，加强对工作人员的管理，工作人员不得无故查看及讨论工作内容，不得以任何方式复制、下载、留存、持有、使用和向外人泄露采购人的任何档案信息，如发生遗失、复制、泄露等安全事故，全部由中标人负责。</w:t>
      </w:r>
    </w:p>
    <w:p w14:paraId="19C777E1">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s="宋体"/>
          <w:color w:val="auto"/>
          <w:szCs w:val="21"/>
          <w:highlight w:val="none"/>
        </w:rPr>
        <w:t>（五）项目完成中标人撤离时，除留给采购人的备份数据外，服务器、工作站和其他设备上的信息需要在采购人工作人员现场监督下销毁。</w:t>
      </w:r>
    </w:p>
    <w:p w14:paraId="168D6C0E">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olor w:val="auto"/>
          <w:szCs w:val="21"/>
          <w:highlight w:val="none"/>
        </w:rPr>
        <w:t>（六）当发生非正常的重大事项时，需及时向采购人汇报，未能及时汇报或隐瞒的将给予严肃处理。</w:t>
      </w:r>
    </w:p>
    <w:p w14:paraId="5B00F42E">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olor w:val="auto"/>
          <w:szCs w:val="21"/>
          <w:highlight w:val="none"/>
        </w:rPr>
        <w:t>（七）中标人</w:t>
      </w:r>
      <w:r>
        <w:rPr>
          <w:rFonts w:ascii="黑体" w:hAnsi="黑体" w:eastAsia="黑体"/>
          <w:color w:val="auto"/>
          <w:szCs w:val="21"/>
          <w:highlight w:val="none"/>
        </w:rPr>
        <w:t>不得利用工作之便，进行任何非法或非本项目范围内的活动，特别是发布非法信息</w:t>
      </w:r>
      <w:r>
        <w:rPr>
          <w:rFonts w:hint="eastAsia" w:ascii="黑体" w:hAnsi="黑体" w:eastAsia="黑体"/>
          <w:color w:val="auto"/>
          <w:szCs w:val="21"/>
          <w:highlight w:val="none"/>
        </w:rPr>
        <w:t>、</w:t>
      </w:r>
      <w:r>
        <w:rPr>
          <w:rFonts w:ascii="黑体" w:hAnsi="黑体" w:eastAsia="黑体"/>
          <w:color w:val="auto"/>
          <w:szCs w:val="21"/>
          <w:highlight w:val="none"/>
        </w:rPr>
        <w:t>留下系统后门等，离开服务场地需要先告知</w:t>
      </w:r>
      <w:r>
        <w:rPr>
          <w:rFonts w:hint="eastAsia" w:ascii="黑体" w:hAnsi="黑体" w:eastAsia="黑体"/>
          <w:color w:val="auto"/>
          <w:szCs w:val="21"/>
          <w:highlight w:val="none"/>
        </w:rPr>
        <w:t>采购人</w:t>
      </w:r>
      <w:r>
        <w:rPr>
          <w:rFonts w:ascii="黑体" w:hAnsi="黑体" w:eastAsia="黑体"/>
          <w:color w:val="auto"/>
          <w:szCs w:val="21"/>
          <w:highlight w:val="none"/>
        </w:rPr>
        <w:t>。</w:t>
      </w:r>
    </w:p>
    <w:p w14:paraId="4328BFF5">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color w:val="auto"/>
          <w:szCs w:val="21"/>
          <w:highlight w:val="none"/>
        </w:rPr>
        <w:t>（八）中标人</w:t>
      </w:r>
      <w:r>
        <w:rPr>
          <w:rFonts w:ascii="黑体" w:hAnsi="黑体" w:eastAsia="黑体"/>
          <w:color w:val="auto"/>
          <w:szCs w:val="21"/>
          <w:highlight w:val="none"/>
        </w:rPr>
        <w:t>不得随意更换</w:t>
      </w:r>
      <w:r>
        <w:rPr>
          <w:rFonts w:hint="eastAsia" w:ascii="黑体" w:hAnsi="黑体" w:eastAsia="黑体"/>
          <w:color w:val="auto"/>
          <w:szCs w:val="21"/>
          <w:highlight w:val="none"/>
        </w:rPr>
        <w:t>项目</w:t>
      </w:r>
      <w:r>
        <w:rPr>
          <w:rFonts w:ascii="黑体" w:hAnsi="黑体" w:eastAsia="黑体"/>
          <w:color w:val="auto"/>
          <w:szCs w:val="21"/>
          <w:highlight w:val="none"/>
        </w:rPr>
        <w:t>服务小组人员，且更换前需</w:t>
      </w:r>
      <w:r>
        <w:rPr>
          <w:rFonts w:hint="eastAsia" w:ascii="黑体" w:hAnsi="黑体" w:eastAsia="黑体"/>
          <w:color w:val="auto"/>
          <w:szCs w:val="21"/>
          <w:highlight w:val="none"/>
        </w:rPr>
        <w:t>书面</w:t>
      </w:r>
      <w:r>
        <w:rPr>
          <w:rFonts w:ascii="黑体" w:hAnsi="黑体" w:eastAsia="黑体"/>
          <w:color w:val="auto"/>
          <w:szCs w:val="21"/>
          <w:highlight w:val="none"/>
        </w:rPr>
        <w:t>征得</w:t>
      </w:r>
      <w:r>
        <w:rPr>
          <w:rFonts w:hint="eastAsia" w:ascii="黑体" w:hAnsi="黑体" w:eastAsia="黑体"/>
          <w:color w:val="auto"/>
          <w:szCs w:val="21"/>
          <w:highlight w:val="none"/>
        </w:rPr>
        <w:t>采购人</w:t>
      </w:r>
      <w:r>
        <w:rPr>
          <w:rFonts w:ascii="黑体" w:hAnsi="黑体" w:eastAsia="黑体"/>
          <w:color w:val="auto"/>
          <w:szCs w:val="21"/>
          <w:highlight w:val="none"/>
        </w:rPr>
        <w:t>的同意。</w:t>
      </w:r>
    </w:p>
    <w:bookmarkEnd w:id="13"/>
    <w:p w14:paraId="4B1356CA">
      <w:pPr>
        <w:pStyle w:val="16"/>
        <w:tabs>
          <w:tab w:val="left" w:pos="426"/>
          <w:tab w:val="left" w:pos="709"/>
        </w:tabs>
        <w:spacing w:beforeLines="50" w:line="360" w:lineRule="auto"/>
        <w:ind w:firstLine="413" w:firstLineChars="196"/>
        <w:rPr>
          <w:rFonts w:ascii="黑体" w:hAnsi="黑体" w:eastAsia="黑体"/>
          <w:b/>
          <w:bCs/>
          <w:color w:val="auto"/>
          <w:szCs w:val="21"/>
          <w:highlight w:val="none"/>
        </w:rPr>
      </w:pPr>
      <w:r>
        <w:rPr>
          <w:rFonts w:hint="eastAsia" w:ascii="黑体" w:hAnsi="黑体" w:eastAsia="黑体"/>
          <w:b/>
          <w:bCs/>
          <w:color w:val="auto"/>
          <w:szCs w:val="21"/>
          <w:highlight w:val="none"/>
        </w:rPr>
        <w:t>十四、培训要求</w:t>
      </w:r>
    </w:p>
    <w:p w14:paraId="52B1CE56">
      <w:pPr>
        <w:tabs>
          <w:tab w:val="left" w:pos="426"/>
          <w:tab w:val="left" w:pos="709"/>
        </w:tabs>
        <w:spacing w:line="360" w:lineRule="auto"/>
        <w:ind w:firstLine="420" w:firstLineChars="200"/>
        <w:rPr>
          <w:rFonts w:ascii="黑体" w:hAnsi="黑体" w:eastAsia="黑体"/>
          <w:bCs/>
          <w:color w:val="auto"/>
          <w:szCs w:val="21"/>
          <w:highlight w:val="none"/>
        </w:rPr>
      </w:pPr>
      <w:bookmarkStart w:id="14" w:name="_Hlk28277163"/>
      <w:r>
        <w:rPr>
          <w:rFonts w:hint="eastAsia" w:ascii="黑体" w:hAnsi="黑体" w:eastAsia="黑体"/>
          <w:bCs/>
          <w:color w:val="auto"/>
          <w:szCs w:val="21"/>
          <w:highlight w:val="none"/>
        </w:rPr>
        <w:t>中标人需要根据采购人实际需求对用户进行系统培训，帮助用户熟悉软件的各项功能。</w:t>
      </w:r>
    </w:p>
    <w:bookmarkEnd w:id="14"/>
    <w:p w14:paraId="05FD4717">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bCs/>
          <w:color w:val="auto"/>
          <w:szCs w:val="21"/>
          <w:highlight w:val="none"/>
        </w:rPr>
        <w:t>（一）培训目的：使业务人员及相关人员达到能独立进行管理、维护和故障处理等工作，以便采购人所使用的软件产品能够正常、安全地运行。</w:t>
      </w:r>
    </w:p>
    <w:p w14:paraId="64BCE800">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bCs/>
          <w:color w:val="auto"/>
          <w:szCs w:val="21"/>
          <w:highlight w:val="none"/>
        </w:rPr>
        <w:t>（二）培训对象及资料：系统管理员和系统使用人员，由中标人提供培训教材，所有的培训资料为中文书写。</w:t>
      </w:r>
    </w:p>
    <w:p w14:paraId="67CD539B">
      <w:pPr>
        <w:pStyle w:val="14"/>
        <w:tabs>
          <w:tab w:val="left" w:pos="426"/>
        </w:tabs>
        <w:spacing w:line="360" w:lineRule="auto"/>
        <w:rPr>
          <w:rFonts w:ascii="黑体" w:hAnsi="黑体" w:eastAsia="黑体"/>
          <w:b/>
          <w:bCs/>
          <w:color w:val="auto"/>
          <w:szCs w:val="21"/>
          <w:highlight w:val="none"/>
        </w:rPr>
      </w:pPr>
      <w:r>
        <w:rPr>
          <w:rFonts w:hint="eastAsia" w:ascii="黑体" w:hAnsi="黑体" w:eastAsia="黑体"/>
          <w:bCs/>
          <w:color w:val="auto"/>
          <w:szCs w:val="21"/>
          <w:highlight w:val="none"/>
        </w:rPr>
        <w:t>（三）培训费用：中标人承担所有培训费用（含培训教材费）及各项支出。</w:t>
      </w:r>
    </w:p>
    <w:p w14:paraId="21E353CC">
      <w:pPr>
        <w:pStyle w:val="16"/>
        <w:tabs>
          <w:tab w:val="left" w:pos="426"/>
          <w:tab w:val="left" w:pos="709"/>
        </w:tabs>
        <w:spacing w:beforeLines="50" w:line="360" w:lineRule="auto"/>
        <w:ind w:firstLine="413" w:firstLineChars="196"/>
        <w:rPr>
          <w:rFonts w:ascii="黑体" w:hAnsi="黑体" w:eastAsia="黑体"/>
          <w:b/>
          <w:color w:val="auto"/>
          <w:szCs w:val="21"/>
          <w:highlight w:val="none"/>
        </w:rPr>
      </w:pPr>
      <w:r>
        <w:rPr>
          <w:rFonts w:hint="eastAsia" w:ascii="黑体" w:hAnsi="黑体" w:eastAsia="黑体"/>
          <w:b/>
          <w:color w:val="auto"/>
          <w:szCs w:val="21"/>
          <w:highlight w:val="none"/>
        </w:rPr>
        <w:t>十五、</w:t>
      </w:r>
      <w:r>
        <w:rPr>
          <w:rFonts w:ascii="黑体" w:hAnsi="黑体" w:eastAsia="黑体"/>
          <w:b/>
          <w:color w:val="auto"/>
          <w:szCs w:val="21"/>
          <w:highlight w:val="none"/>
        </w:rPr>
        <w:t>文档交付要求</w:t>
      </w:r>
    </w:p>
    <w:p w14:paraId="33766A5D">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项目建设及运营工作应严格按照采购人的要求进行，中标人需要根据项目建设及运营工作的开展按要求提供有关文档，包括但不仅限于：</w:t>
      </w:r>
    </w:p>
    <w:p w14:paraId="2F8579B4">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(一)《社区诊疗一卡通自助服务平台信息技术应用创新升级项目实施方案》</w:t>
      </w:r>
    </w:p>
    <w:p w14:paraId="31A84108">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(二)《社区诊疗一卡通自助服务平台信息技术应用创新升级项目业务需求说明书》</w:t>
      </w:r>
    </w:p>
    <w:p w14:paraId="3BB2A6B7">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(三)《社区诊疗一卡通自助服务平台信息技术应用创新升级项目验收报告》</w:t>
      </w:r>
    </w:p>
    <w:p w14:paraId="0D2C2834">
      <w:pPr>
        <w:pStyle w:val="14"/>
        <w:tabs>
          <w:tab w:val="left" w:pos="426"/>
        </w:tabs>
        <w:spacing w:line="360" w:lineRule="auto"/>
        <w:rPr>
          <w:rFonts w:ascii="黑体" w:hAnsi="黑体" w:eastAsia="黑体"/>
          <w:bCs/>
          <w:color w:val="auto"/>
          <w:szCs w:val="21"/>
          <w:highlight w:val="none"/>
        </w:rPr>
      </w:pPr>
      <w:r>
        <w:rPr>
          <w:rFonts w:hint="eastAsia" w:ascii="黑体" w:hAnsi="黑体" w:eastAsia="黑体"/>
          <w:bCs/>
          <w:color w:val="auto"/>
          <w:szCs w:val="21"/>
          <w:highlight w:val="none"/>
        </w:rPr>
        <w:t>(四)《社区诊疗一卡通自助服务平台运行报告》</w:t>
      </w:r>
    </w:p>
    <w:p w14:paraId="2CC85235">
      <w:pPr>
        <w:rPr>
          <w:rFonts w:hint="eastAsia"/>
          <w:color w:val="auto"/>
          <w:highlight w:val="none"/>
        </w:rPr>
      </w:pPr>
    </w:p>
    <w:p w14:paraId="65B3A399">
      <w:pPr>
        <w:rPr>
          <w:rFonts w:hint="eastAsia"/>
          <w:color w:val="auto"/>
          <w:highlight w:val="none"/>
        </w:rPr>
      </w:pPr>
    </w:p>
    <w:p w14:paraId="7C33C6FC">
      <w:pPr>
        <w:rPr>
          <w:color w:val="auto"/>
          <w:highlight w:val="none"/>
        </w:rPr>
      </w:pPr>
    </w:p>
    <w:p w14:paraId="23903FF7">
      <w:pPr>
        <w:widowControl/>
        <w:jc w:val="left"/>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A262FDE"/>
    <w:rsid w:val="00006D2E"/>
    <w:rsid w:val="00011E26"/>
    <w:rsid w:val="000143C4"/>
    <w:rsid w:val="00023AF8"/>
    <w:rsid w:val="00050F40"/>
    <w:rsid w:val="000646B8"/>
    <w:rsid w:val="00075202"/>
    <w:rsid w:val="00075384"/>
    <w:rsid w:val="0008080D"/>
    <w:rsid w:val="00094A71"/>
    <w:rsid w:val="00095846"/>
    <w:rsid w:val="000A2445"/>
    <w:rsid w:val="000A6FA8"/>
    <w:rsid w:val="000C0446"/>
    <w:rsid w:val="000E0690"/>
    <w:rsid w:val="000E3FAA"/>
    <w:rsid w:val="000E60FA"/>
    <w:rsid w:val="0010227A"/>
    <w:rsid w:val="00104AFD"/>
    <w:rsid w:val="00163C60"/>
    <w:rsid w:val="00163FFD"/>
    <w:rsid w:val="001650C3"/>
    <w:rsid w:val="001667BC"/>
    <w:rsid w:val="00193424"/>
    <w:rsid w:val="001A7DA7"/>
    <w:rsid w:val="001B031B"/>
    <w:rsid w:val="001B1786"/>
    <w:rsid w:val="001B43D6"/>
    <w:rsid w:val="001C5237"/>
    <w:rsid w:val="001C66E9"/>
    <w:rsid w:val="001D2D13"/>
    <w:rsid w:val="001E25F1"/>
    <w:rsid w:val="001E6087"/>
    <w:rsid w:val="00206B9A"/>
    <w:rsid w:val="00213F4E"/>
    <w:rsid w:val="00223429"/>
    <w:rsid w:val="002546BD"/>
    <w:rsid w:val="00270456"/>
    <w:rsid w:val="00293AEA"/>
    <w:rsid w:val="00296BC9"/>
    <w:rsid w:val="00296D22"/>
    <w:rsid w:val="002A12C9"/>
    <w:rsid w:val="002A5CB9"/>
    <w:rsid w:val="002C247D"/>
    <w:rsid w:val="002C3E5D"/>
    <w:rsid w:val="002E1690"/>
    <w:rsid w:val="002E2BAA"/>
    <w:rsid w:val="002E7E66"/>
    <w:rsid w:val="003047F8"/>
    <w:rsid w:val="0031125E"/>
    <w:rsid w:val="00317B05"/>
    <w:rsid w:val="00322645"/>
    <w:rsid w:val="0032361F"/>
    <w:rsid w:val="0034193B"/>
    <w:rsid w:val="00342AEE"/>
    <w:rsid w:val="00352304"/>
    <w:rsid w:val="003534EB"/>
    <w:rsid w:val="00357B8A"/>
    <w:rsid w:val="00357FAA"/>
    <w:rsid w:val="003941F2"/>
    <w:rsid w:val="003A0451"/>
    <w:rsid w:val="003A6144"/>
    <w:rsid w:val="003B1556"/>
    <w:rsid w:val="003B5C32"/>
    <w:rsid w:val="003C34B5"/>
    <w:rsid w:val="003D0C78"/>
    <w:rsid w:val="003F448F"/>
    <w:rsid w:val="003F563F"/>
    <w:rsid w:val="003F7C06"/>
    <w:rsid w:val="00400A65"/>
    <w:rsid w:val="00421ABC"/>
    <w:rsid w:val="00434C03"/>
    <w:rsid w:val="00435370"/>
    <w:rsid w:val="0044088E"/>
    <w:rsid w:val="00442692"/>
    <w:rsid w:val="004601C0"/>
    <w:rsid w:val="00465D2F"/>
    <w:rsid w:val="004710C8"/>
    <w:rsid w:val="00497ECB"/>
    <w:rsid w:val="004B4C0F"/>
    <w:rsid w:val="004B54C5"/>
    <w:rsid w:val="004B66CC"/>
    <w:rsid w:val="004C7629"/>
    <w:rsid w:val="004E4F66"/>
    <w:rsid w:val="004F1C94"/>
    <w:rsid w:val="005174ED"/>
    <w:rsid w:val="00530AF4"/>
    <w:rsid w:val="00534985"/>
    <w:rsid w:val="00552E8D"/>
    <w:rsid w:val="00573FC7"/>
    <w:rsid w:val="00576F28"/>
    <w:rsid w:val="005923A4"/>
    <w:rsid w:val="005927C0"/>
    <w:rsid w:val="005A1824"/>
    <w:rsid w:val="005A4691"/>
    <w:rsid w:val="005B2E48"/>
    <w:rsid w:val="005B411B"/>
    <w:rsid w:val="005D028D"/>
    <w:rsid w:val="005E3F76"/>
    <w:rsid w:val="005E4947"/>
    <w:rsid w:val="005F7BDB"/>
    <w:rsid w:val="00610063"/>
    <w:rsid w:val="00621E75"/>
    <w:rsid w:val="00635076"/>
    <w:rsid w:val="0064109E"/>
    <w:rsid w:val="00655D53"/>
    <w:rsid w:val="00666B06"/>
    <w:rsid w:val="00667BFB"/>
    <w:rsid w:val="006709EC"/>
    <w:rsid w:val="00670B68"/>
    <w:rsid w:val="00671B61"/>
    <w:rsid w:val="00674524"/>
    <w:rsid w:val="0067585B"/>
    <w:rsid w:val="006812F5"/>
    <w:rsid w:val="00682540"/>
    <w:rsid w:val="006A3A34"/>
    <w:rsid w:val="006A521D"/>
    <w:rsid w:val="006B5CD3"/>
    <w:rsid w:val="006D230D"/>
    <w:rsid w:val="006F23E9"/>
    <w:rsid w:val="006F6DFD"/>
    <w:rsid w:val="00721EFB"/>
    <w:rsid w:val="00737842"/>
    <w:rsid w:val="00741A3E"/>
    <w:rsid w:val="00743FCA"/>
    <w:rsid w:val="00752955"/>
    <w:rsid w:val="00791A31"/>
    <w:rsid w:val="00793A9C"/>
    <w:rsid w:val="007A65D0"/>
    <w:rsid w:val="007B48AC"/>
    <w:rsid w:val="007C674F"/>
    <w:rsid w:val="007D3B3D"/>
    <w:rsid w:val="007F1FC8"/>
    <w:rsid w:val="007F4AEB"/>
    <w:rsid w:val="0084509A"/>
    <w:rsid w:val="008552EC"/>
    <w:rsid w:val="00863BDA"/>
    <w:rsid w:val="00864261"/>
    <w:rsid w:val="00877ACB"/>
    <w:rsid w:val="00887536"/>
    <w:rsid w:val="008A59B3"/>
    <w:rsid w:val="008C120E"/>
    <w:rsid w:val="008E7D31"/>
    <w:rsid w:val="008F435D"/>
    <w:rsid w:val="009144C0"/>
    <w:rsid w:val="00916629"/>
    <w:rsid w:val="0091738A"/>
    <w:rsid w:val="00925A7E"/>
    <w:rsid w:val="00932501"/>
    <w:rsid w:val="009563B8"/>
    <w:rsid w:val="00964446"/>
    <w:rsid w:val="00972C42"/>
    <w:rsid w:val="0097549E"/>
    <w:rsid w:val="00983B97"/>
    <w:rsid w:val="00985AD7"/>
    <w:rsid w:val="00986051"/>
    <w:rsid w:val="00996074"/>
    <w:rsid w:val="009A7E63"/>
    <w:rsid w:val="009B17DE"/>
    <w:rsid w:val="009B6F8B"/>
    <w:rsid w:val="009C1211"/>
    <w:rsid w:val="009C4EF8"/>
    <w:rsid w:val="009E18A4"/>
    <w:rsid w:val="009E342D"/>
    <w:rsid w:val="009E5951"/>
    <w:rsid w:val="009E5E74"/>
    <w:rsid w:val="009F5037"/>
    <w:rsid w:val="009F50FB"/>
    <w:rsid w:val="009F7FEC"/>
    <w:rsid w:val="00A22C54"/>
    <w:rsid w:val="00A32B55"/>
    <w:rsid w:val="00A4100C"/>
    <w:rsid w:val="00A42514"/>
    <w:rsid w:val="00A67F34"/>
    <w:rsid w:val="00A968BC"/>
    <w:rsid w:val="00AA2A16"/>
    <w:rsid w:val="00AA72DA"/>
    <w:rsid w:val="00AB1124"/>
    <w:rsid w:val="00AB29EA"/>
    <w:rsid w:val="00AD24A4"/>
    <w:rsid w:val="00AD4BB1"/>
    <w:rsid w:val="00AD7C1B"/>
    <w:rsid w:val="00AE0150"/>
    <w:rsid w:val="00AE371A"/>
    <w:rsid w:val="00B009A6"/>
    <w:rsid w:val="00B0693F"/>
    <w:rsid w:val="00B12D1F"/>
    <w:rsid w:val="00B13901"/>
    <w:rsid w:val="00B22313"/>
    <w:rsid w:val="00B22F62"/>
    <w:rsid w:val="00B326CD"/>
    <w:rsid w:val="00B36DB9"/>
    <w:rsid w:val="00B45971"/>
    <w:rsid w:val="00B659FE"/>
    <w:rsid w:val="00B850C5"/>
    <w:rsid w:val="00B90DAA"/>
    <w:rsid w:val="00B973B7"/>
    <w:rsid w:val="00BA4826"/>
    <w:rsid w:val="00BA4AC4"/>
    <w:rsid w:val="00BA5964"/>
    <w:rsid w:val="00BA61D6"/>
    <w:rsid w:val="00BC686C"/>
    <w:rsid w:val="00BF31B1"/>
    <w:rsid w:val="00BF52EB"/>
    <w:rsid w:val="00BF69A1"/>
    <w:rsid w:val="00C071C3"/>
    <w:rsid w:val="00C266BD"/>
    <w:rsid w:val="00C31F1F"/>
    <w:rsid w:val="00C334C0"/>
    <w:rsid w:val="00C417FE"/>
    <w:rsid w:val="00C6299E"/>
    <w:rsid w:val="00C85681"/>
    <w:rsid w:val="00C876DF"/>
    <w:rsid w:val="00CA07A2"/>
    <w:rsid w:val="00CA3DC0"/>
    <w:rsid w:val="00CA3DCB"/>
    <w:rsid w:val="00CC4991"/>
    <w:rsid w:val="00CC75B7"/>
    <w:rsid w:val="00CD53A3"/>
    <w:rsid w:val="00D04741"/>
    <w:rsid w:val="00D056C1"/>
    <w:rsid w:val="00D06558"/>
    <w:rsid w:val="00D209AF"/>
    <w:rsid w:val="00D27737"/>
    <w:rsid w:val="00D44B06"/>
    <w:rsid w:val="00D519B3"/>
    <w:rsid w:val="00D53A92"/>
    <w:rsid w:val="00D63425"/>
    <w:rsid w:val="00D73266"/>
    <w:rsid w:val="00D92EE0"/>
    <w:rsid w:val="00DB7A22"/>
    <w:rsid w:val="00DC26CC"/>
    <w:rsid w:val="00DC3491"/>
    <w:rsid w:val="00DC6A6F"/>
    <w:rsid w:val="00DD7990"/>
    <w:rsid w:val="00DE4543"/>
    <w:rsid w:val="00DE57BC"/>
    <w:rsid w:val="00DF4F74"/>
    <w:rsid w:val="00E16D12"/>
    <w:rsid w:val="00E26DA2"/>
    <w:rsid w:val="00E30989"/>
    <w:rsid w:val="00E35912"/>
    <w:rsid w:val="00E35A5E"/>
    <w:rsid w:val="00E41677"/>
    <w:rsid w:val="00E55A41"/>
    <w:rsid w:val="00E727E4"/>
    <w:rsid w:val="00E76CBB"/>
    <w:rsid w:val="00E83123"/>
    <w:rsid w:val="00E84B26"/>
    <w:rsid w:val="00EA0D6A"/>
    <w:rsid w:val="00EA6CDC"/>
    <w:rsid w:val="00EA7D6F"/>
    <w:rsid w:val="00EC02A0"/>
    <w:rsid w:val="00EC6A6F"/>
    <w:rsid w:val="00ED19F1"/>
    <w:rsid w:val="00ED7676"/>
    <w:rsid w:val="00EE470C"/>
    <w:rsid w:val="00EF0F51"/>
    <w:rsid w:val="00F01EDE"/>
    <w:rsid w:val="00F0369E"/>
    <w:rsid w:val="00F07162"/>
    <w:rsid w:val="00F114D6"/>
    <w:rsid w:val="00F1795E"/>
    <w:rsid w:val="00F22A9E"/>
    <w:rsid w:val="00F22EFB"/>
    <w:rsid w:val="00F31A43"/>
    <w:rsid w:val="00F3403C"/>
    <w:rsid w:val="00F36519"/>
    <w:rsid w:val="00F37DA7"/>
    <w:rsid w:val="00F4343B"/>
    <w:rsid w:val="00F47ABC"/>
    <w:rsid w:val="00F7508F"/>
    <w:rsid w:val="00F8225E"/>
    <w:rsid w:val="00F8228F"/>
    <w:rsid w:val="00F94FEC"/>
    <w:rsid w:val="00FB082F"/>
    <w:rsid w:val="00FC5BD7"/>
    <w:rsid w:val="00FD0162"/>
    <w:rsid w:val="00FD2664"/>
    <w:rsid w:val="00FD2830"/>
    <w:rsid w:val="00FE17A4"/>
    <w:rsid w:val="01DE2AD1"/>
    <w:rsid w:val="11C01E69"/>
    <w:rsid w:val="11C278AE"/>
    <w:rsid w:val="14D82CC8"/>
    <w:rsid w:val="1639740A"/>
    <w:rsid w:val="17CF477B"/>
    <w:rsid w:val="18553467"/>
    <w:rsid w:val="1C1B2B6E"/>
    <w:rsid w:val="2244466D"/>
    <w:rsid w:val="24A2751C"/>
    <w:rsid w:val="26467B59"/>
    <w:rsid w:val="26E752A2"/>
    <w:rsid w:val="26EF5C31"/>
    <w:rsid w:val="2A5D6C8B"/>
    <w:rsid w:val="2EFA2D51"/>
    <w:rsid w:val="37D33C22"/>
    <w:rsid w:val="3D5B523D"/>
    <w:rsid w:val="414C3021"/>
    <w:rsid w:val="4338412D"/>
    <w:rsid w:val="46BB6952"/>
    <w:rsid w:val="49984878"/>
    <w:rsid w:val="4E236E3B"/>
    <w:rsid w:val="560D4301"/>
    <w:rsid w:val="57E20AF2"/>
    <w:rsid w:val="5A262FDE"/>
    <w:rsid w:val="5B685104"/>
    <w:rsid w:val="5C471EF1"/>
    <w:rsid w:val="5C5A296F"/>
    <w:rsid w:val="5D596B4A"/>
    <w:rsid w:val="619E4FC5"/>
    <w:rsid w:val="627D26A4"/>
    <w:rsid w:val="659D6BB5"/>
    <w:rsid w:val="678036DB"/>
    <w:rsid w:val="6A1D1DA5"/>
    <w:rsid w:val="6C0C5C95"/>
    <w:rsid w:val="70B46A76"/>
    <w:rsid w:val="71D05662"/>
    <w:rsid w:val="73BF26DA"/>
    <w:rsid w:val="77E13DB4"/>
    <w:rsid w:val="780405A1"/>
    <w:rsid w:val="7CD5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4"/>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框文本 Char"/>
    <w:basedOn w:val="9"/>
    <w:link w:val="4"/>
    <w:qFormat/>
    <w:uiPriority w:val="0"/>
    <w:rPr>
      <w:kern w:val="2"/>
      <w:sz w:val="18"/>
      <w:szCs w:val="18"/>
    </w:rPr>
  </w:style>
  <w:style w:type="character" w:customStyle="1" w:styleId="13">
    <w:name w:val="页眉 Char"/>
    <w:basedOn w:val="9"/>
    <w:link w:val="6"/>
    <w:qFormat/>
    <w:uiPriority w:val="0"/>
    <w:rPr>
      <w:kern w:val="2"/>
      <w:sz w:val="18"/>
      <w:szCs w:val="18"/>
    </w:rPr>
  </w:style>
  <w:style w:type="paragraph" w:customStyle="1" w:styleId="14">
    <w:name w:val="_Style 56"/>
    <w:basedOn w:val="1"/>
    <w:next w:val="15"/>
    <w:qFormat/>
    <w:uiPriority w:val="0"/>
    <w:pPr>
      <w:ind w:firstLine="420" w:firstLineChars="200"/>
    </w:pPr>
  </w:style>
  <w:style w:type="paragraph" w:customStyle="1" w:styleId="15">
    <w:name w:val="列出段落1"/>
    <w:basedOn w:val="1"/>
    <w:qFormat/>
    <w:uiPriority w:val="0"/>
    <w:pPr>
      <w:ind w:firstLine="420" w:firstLineChars="200"/>
    </w:pPr>
  </w:style>
  <w:style w:type="paragraph" w:customStyle="1" w:styleId="16">
    <w:name w:val="列出段落11"/>
    <w:basedOn w:val="1"/>
    <w:qFormat/>
    <w:uiPriority w:val="34"/>
    <w:pPr>
      <w:ind w:firstLine="420" w:firstLineChars="200"/>
    </w:pPr>
    <w:rPr>
      <w:rFonts w:cs="黑体"/>
    </w:rPr>
  </w:style>
  <w:style w:type="paragraph" w:customStyle="1" w:styleId="17">
    <w:name w:val="_Style 15"/>
    <w:basedOn w:val="1"/>
    <w:qFormat/>
    <w:uiPriority w:val="34"/>
    <w:pPr>
      <w:ind w:firstLine="420" w:firstLineChars="200"/>
    </w:pPr>
    <w:rPr>
      <w:rFonts w:ascii="等线" w:hAnsi="等线" w:eastAsia="等线"/>
    </w:rPr>
  </w:style>
  <w:style w:type="paragraph" w:styleId="18">
    <w:name w:val="List Paragraph"/>
    <w:basedOn w:val="1"/>
    <w:qFormat/>
    <w:uiPriority w:val="0"/>
    <w:pPr>
      <w:spacing w:after="160"/>
      <w:ind w:firstLine="420" w:firstLineChars="200"/>
    </w:pPr>
  </w:style>
  <w:style w:type="character" w:customStyle="1" w:styleId="19">
    <w:name w:val="font21"/>
    <w:basedOn w:val="9"/>
    <w:qFormat/>
    <w:uiPriority w:val="0"/>
    <w:rPr>
      <w:rFonts w:hint="eastAsia" w:ascii="黑体" w:hAnsi="宋体" w:eastAsia="黑体" w:cs="黑体"/>
      <w:color w:val="000000"/>
      <w:sz w:val="21"/>
      <w:szCs w:val="21"/>
      <w:u w:val="none"/>
    </w:rPr>
  </w:style>
  <w:style w:type="paragraph" w:customStyle="1" w:styleId="20">
    <w:name w:val="正文缩进2格"/>
    <w:basedOn w:val="1"/>
    <w:link w:val="21"/>
    <w:qFormat/>
    <w:uiPriority w:val="0"/>
    <w:pPr>
      <w:spacing w:line="600" w:lineRule="exact"/>
      <w:ind w:firstLine="639" w:firstLineChars="206"/>
    </w:pPr>
    <w:rPr>
      <w:rFonts w:ascii="仿宋_GB2312" w:hAnsi="宋体" w:eastAsia="仿宋_GB2312"/>
      <w:sz w:val="31"/>
      <w:szCs w:val="28"/>
    </w:rPr>
  </w:style>
  <w:style w:type="character" w:customStyle="1" w:styleId="21">
    <w:name w:val="正文缩进2格 Char"/>
    <w:link w:val="20"/>
    <w:qFormat/>
    <w:uiPriority w:val="0"/>
    <w:rPr>
      <w:rFonts w:ascii="仿宋_GB2312" w:hAnsi="宋体" w:eastAsia="仿宋_GB2312"/>
      <w:kern w:val="2"/>
      <w:sz w:val="31"/>
      <w:szCs w:val="28"/>
    </w:rPr>
  </w:style>
  <w:style w:type="paragraph" w:customStyle="1" w:styleId="22">
    <w:name w:val="null3"/>
    <w:hidden/>
    <w:qFormat/>
    <w:uiPriority w:val="0"/>
    <w:rPr>
      <w:rFonts w:hint="eastAsia" w:asciiTheme="minorHAnsi" w:hAnsiTheme="minorHAnsi" w:eastAsiaTheme="minorEastAsia" w:cstheme="minorBidi"/>
      <w:lang w:val="en-US" w:eastAsia="zh-CN" w:bidi="ar-SA"/>
    </w:rPr>
  </w:style>
  <w:style w:type="character" w:customStyle="1" w:styleId="23">
    <w:name w:val="批注文字 Char"/>
    <w:basedOn w:val="9"/>
    <w:link w:val="3"/>
    <w:qFormat/>
    <w:uiPriority w:val="0"/>
    <w:rPr>
      <w:rFonts w:ascii="Calibri" w:hAnsi="Calibri"/>
      <w:kern w:val="2"/>
      <w:sz w:val="21"/>
      <w:szCs w:val="22"/>
    </w:rPr>
  </w:style>
  <w:style w:type="character" w:customStyle="1" w:styleId="24">
    <w:name w:val="批注主题 Char"/>
    <w:basedOn w:val="23"/>
    <w:link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1593-DB5D-4BBE-B932-FB2DC9BC23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9369</Words>
  <Characters>9956</Characters>
  <Lines>141</Lines>
  <Paragraphs>39</Paragraphs>
  <TotalTime>290</TotalTime>
  <ScaleCrop>false</ScaleCrop>
  <LinksUpToDate>false</LinksUpToDate>
  <CharactersWithSpaces>9981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2024-12-24T09:34:00Z</dcterms:created>
  <dc:creator>刘胜国</dc:creator>
  <cp:lastModifiedBy>黄权文</cp:lastModifiedBy>
  <dcterms:modified xsi:type="dcterms:W3CDTF">2025-09-18T09:50:37Z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030BEFD34D1E4932A04F22F0F64CF55B_13</vt:lpwstr>
  </property>
  <property fmtid="{D5CDD505-2E9C-101B-9397-08002B2CF9AE}" pid="4" name="KSOTemplateDocerSaveRecord">
    <vt:lpwstr>eyJoZGlkIjoiOGEwMTFkZmNjMDQyMDY0Y2I5MWUyODdjYmM5YjhiYzAiLCJ1c2VySWQiOiI0MDU4NDUzNDkifQ==</vt:lpwstr>
  </property>
</Properties>
</file>