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B7A25">
      <w:pPr>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黄江镇“四害”消杀项目</w:t>
      </w:r>
      <w:bookmarkStart w:id="0" w:name="_GoBack"/>
      <w:bookmarkEnd w:id="0"/>
      <w:r>
        <w:rPr>
          <w:rFonts w:hint="eastAsia" w:ascii="宋体" w:hAnsi="宋体" w:eastAsia="宋体" w:cs="宋体"/>
          <w:sz w:val="32"/>
          <w:szCs w:val="32"/>
          <w:highlight w:val="none"/>
          <w:lang w:eastAsia="zh-CN"/>
        </w:rPr>
        <w:t>采购需求</w:t>
      </w:r>
    </w:p>
    <w:p w14:paraId="20029EE2">
      <w:pPr>
        <w:rPr>
          <w:rFonts w:hint="eastAsia" w:ascii="宋体" w:hAnsi="宋体" w:eastAsia="宋体" w:cs="宋体"/>
          <w:highlight w:val="none"/>
        </w:rPr>
      </w:pPr>
    </w:p>
    <w:p w14:paraId="689D3BBE">
      <w:pPr>
        <w:pStyle w:val="30"/>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14:paraId="4AAE5DB6">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本项目为</w:t>
      </w:r>
      <w:r>
        <w:rPr>
          <w:rFonts w:hint="eastAsia" w:ascii="宋体" w:hAnsi="宋体" w:eastAsia="宋体" w:cs="宋体"/>
          <w:color w:val="auto"/>
          <w:sz w:val="21"/>
          <w:szCs w:val="21"/>
          <w:highlight w:val="none"/>
          <w:lang w:eastAsia="zh-CN"/>
        </w:rPr>
        <w:t>黄江镇“四害”消杀项目</w:t>
      </w:r>
      <w:r>
        <w:rPr>
          <w:rFonts w:hint="eastAsia" w:ascii="宋体" w:hAnsi="宋体" w:eastAsia="宋体" w:cs="宋体"/>
          <w:color w:val="auto"/>
          <w:sz w:val="21"/>
          <w:szCs w:val="21"/>
          <w:highlight w:val="none"/>
        </w:rPr>
        <w:t>。</w:t>
      </w:r>
    </w:p>
    <w:p w14:paraId="43CDD4E1">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、为持续巩固病媒生物防制成效，深入落实爱国卫生运动相关工作部署，有效预防和控制病媒生物传染病的发生与传播，切实保障公共卫生安全，拟实施黄江镇“四害”消杀项目采购。</w:t>
      </w:r>
    </w:p>
    <w:p w14:paraId="0FB0CF10">
      <w:pPr>
        <w:pStyle w:val="30"/>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二、服务范围</w:t>
      </w:r>
    </w:p>
    <w:p w14:paraId="2EBF9502">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本项目消杀范围包括但不限于以下区域：</w:t>
      </w:r>
    </w:p>
    <w:p w14:paraId="0B8D2B89">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1、镇中心区：</w:t>
      </w:r>
    </w:p>
    <w:p w14:paraId="518E7508">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面积约 4 平方公里范围的公共区域，即东至江南路、教育路、环城路，西至蚬壳海河、江北路（含红线范围外胜前岗一至四街等内街小巷），南至合路工业大道，北至环城路，不含红线范围内的花园小区、工业园区、农贸市场、工地及其他建筑物内部。</w:t>
      </w:r>
    </w:p>
    <w:p w14:paraId="25BC630F">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2、外围重点道路：</w:t>
      </w:r>
    </w:p>
    <w:p w14:paraId="005BA3CB">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黄江大道东段（电信路口至拥军一路交界段）、教育路南段（中兴路交界至创业一路交界段）、创业一路、聚富路、盛业路、东环路（黄江大道交界至创业一路交界段）。</w:t>
      </w:r>
    </w:p>
    <w:p w14:paraId="2AE18E26">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3、公园、广场：</w:t>
      </w:r>
    </w:p>
    <w:p w14:paraId="72F7D35A">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黄江人民公园、黄牛埔森林公园南门及北门广场、科技公园、城市公园等。</w:t>
      </w:r>
    </w:p>
    <w:p w14:paraId="2E4FFF2A">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4、政府部门、机关办公大楼：</w:t>
      </w:r>
    </w:p>
    <w:p w14:paraId="7D3680C2">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江镇政府大院、食品公司、黄江特警队（旧敬老院）、黄江残疾人康复就业服务中心、政务服务中心（供销社大楼）、综治大楼、住建大楼、公安分局、特警大队、巡警大队、黄江派出所、新区派出所、梅塘派出所、铁骑大队、交警大队、消防大队、交通分局、医保分局、自然资源分局、城管分局、市场监管分局、人社分局、税务分局、水务运营中心、社卫中心等。</w:t>
      </w:r>
    </w:p>
    <w:p w14:paraId="03071335">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5、公办教育机构：</w:t>
      </w:r>
    </w:p>
    <w:p w14:paraId="60FBAC1B">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黄江中学、中心小学、第一小学、第二小学、实验小学、梅塘小学、长龙小学、中心幼儿园、第一幼儿园等。</w:t>
      </w:r>
    </w:p>
    <w:p w14:paraId="264F194A">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6、其他：</w:t>
      </w:r>
    </w:p>
    <w:p w14:paraId="27E5AE9D">
      <w:pPr>
        <w:pStyle w:val="3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中心区范围内生活垃圾收集站、合同期内新增投入使用的公园、广场、机关办公场所、公办教育机构。</w:t>
      </w:r>
    </w:p>
    <w:p w14:paraId="36D07F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★因政府规划、管理、建设需要、政策变化等原因，服务过程中会存在服务地点和范围的变化（如机构办公地址变迁，新增投入使用的公园、广场等），</w:t>
      </w:r>
      <w:r>
        <w:rPr>
          <w:rFonts w:hint="eastAsia" w:ascii="宋体" w:hAnsi="宋体" w:eastAsia="宋体" w:cs="宋体"/>
          <w:color w:val="auto"/>
          <w:sz w:val="21"/>
          <w:highlight w:val="none"/>
        </w:rPr>
        <w:t>采购人有权变更承包区域面积，中标人必须</w:t>
      </w:r>
      <w:r>
        <w:rPr>
          <w:rFonts w:hint="eastAsia" w:ascii="宋体" w:hAnsi="宋体" w:eastAsia="宋体" w:cs="宋体"/>
          <w:color w:val="auto"/>
          <w:sz w:val="21"/>
          <w:highlight w:val="none"/>
          <w:lang w:val="en-US" w:eastAsia="zh-CN"/>
        </w:rPr>
        <w:t>以包干模式承担本项目服务内容</w:t>
      </w:r>
      <w:r>
        <w:rPr>
          <w:rFonts w:hint="eastAsia" w:ascii="宋体" w:hAnsi="宋体" w:eastAsia="宋体" w:cs="宋体"/>
          <w:color w:val="auto"/>
          <w:sz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投标人在投标文件中就上述内容提供承诺函，格式自拟。</w:t>
      </w:r>
      <w:r>
        <w:rPr>
          <w:rFonts w:hint="eastAsia" w:ascii="宋体" w:hAnsi="宋体" w:eastAsia="宋体" w:cs="宋体"/>
          <w:color w:val="auto"/>
          <w:sz w:val="21"/>
          <w:szCs w:val="21"/>
          <w:highlight w:val="none"/>
          <w:lang w:eastAsia="zh-CN"/>
        </w:rPr>
        <w:t>）</w:t>
      </w:r>
    </w:p>
    <w:p w14:paraId="5398D03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color w:val="auto"/>
          <w:sz w:val="21"/>
          <w:szCs w:val="21"/>
          <w:highlight w:val="none"/>
        </w:rPr>
        <w:t>主要工作内容</w:t>
      </w:r>
    </w:p>
    <w:p w14:paraId="79A252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由中标人负责黄江镇公共</w:t>
      </w:r>
      <w:r>
        <w:rPr>
          <w:rFonts w:hint="eastAsia" w:ascii="宋体" w:hAnsi="宋体" w:eastAsia="宋体" w:cs="宋体"/>
          <w:color w:val="auto"/>
          <w:sz w:val="21"/>
          <w:szCs w:val="21"/>
          <w:highlight w:val="none"/>
          <w:lang w:val="en-US" w:eastAsia="zh-CN"/>
        </w:rPr>
        <w:t>区域</w:t>
      </w:r>
      <w:r>
        <w:rPr>
          <w:rFonts w:hint="eastAsia" w:ascii="宋体" w:hAnsi="宋体" w:eastAsia="宋体" w:cs="宋体"/>
          <w:color w:val="auto"/>
          <w:sz w:val="21"/>
          <w:szCs w:val="21"/>
          <w:highlight w:val="none"/>
        </w:rPr>
        <w:t>“四害”消杀作业、“四害”监测及防</w:t>
      </w:r>
      <w:r>
        <w:rPr>
          <w:rFonts w:hint="eastAsia" w:ascii="宋体" w:hAnsi="宋体" w:eastAsia="宋体" w:cs="宋体"/>
          <w:color w:val="auto"/>
          <w:sz w:val="21"/>
          <w:szCs w:val="21"/>
          <w:highlight w:val="none"/>
          <w:lang w:val="en-US"/>
        </w:rPr>
        <w:t>制</w:t>
      </w:r>
      <w:r>
        <w:rPr>
          <w:rFonts w:hint="eastAsia" w:ascii="宋体" w:hAnsi="宋体" w:eastAsia="宋体" w:cs="宋体"/>
          <w:color w:val="auto"/>
          <w:sz w:val="21"/>
          <w:szCs w:val="21"/>
          <w:highlight w:val="none"/>
        </w:rPr>
        <w:t>工作。结合巩固国家卫生镇及登革热等病媒生物传染病防控情况不定期开展专项消杀，确保“四害”</w:t>
      </w:r>
      <w:r>
        <w:rPr>
          <w:rFonts w:hint="eastAsia" w:ascii="宋体" w:hAnsi="宋体" w:eastAsia="宋体" w:cs="宋体"/>
          <w:color w:val="auto"/>
          <w:sz w:val="21"/>
          <w:szCs w:val="21"/>
          <w:highlight w:val="none"/>
          <w:lang w:val="en-US" w:eastAsia="zh-CN"/>
        </w:rPr>
        <w:t>防治成果</w:t>
      </w:r>
      <w:r>
        <w:rPr>
          <w:rFonts w:hint="eastAsia" w:ascii="宋体" w:hAnsi="宋体" w:eastAsia="宋体" w:cs="宋体"/>
          <w:color w:val="auto"/>
          <w:sz w:val="21"/>
          <w:szCs w:val="21"/>
          <w:highlight w:val="none"/>
        </w:rPr>
        <w:t>不低于国家卫生镇标准和要求，鼠、蚊、蝇、蟑螂密度须控制在全国爱卫会规定的标准内，并符合国家除“四害”达标新标准。</w:t>
      </w:r>
    </w:p>
    <w:p w14:paraId="550D8F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1、承包范围内公共区域 “四害”消杀工作，设置毒鼠屋，投放毒饵，控制四害密度，确保除四害工作达到国家卫生城市、国家文明城市复评考核及东莞市政府工作年度考核标准。</w:t>
      </w:r>
    </w:p>
    <w:p w14:paraId="0E863B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2、承包范围内收集动物尸体（老鼠）工作，并将尸体做无害化处理。</w:t>
      </w:r>
    </w:p>
    <w:p w14:paraId="131D14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3、中标人应在</w:t>
      </w:r>
      <w:r>
        <w:rPr>
          <w:rFonts w:hint="eastAsia" w:ascii="宋体" w:hAnsi="宋体" w:eastAsia="宋体" w:cs="宋体"/>
          <w:color w:val="auto"/>
          <w:sz w:val="21"/>
          <w:szCs w:val="21"/>
          <w:highlight w:val="none"/>
          <w:lang w:val="en-US" w:eastAsia="zh-CN"/>
        </w:rPr>
        <w:t>签订合同</w:t>
      </w:r>
      <w:r>
        <w:rPr>
          <w:rFonts w:hint="eastAsia" w:ascii="宋体" w:hAnsi="宋体" w:eastAsia="宋体" w:cs="宋体"/>
          <w:color w:val="auto"/>
          <w:sz w:val="21"/>
          <w:szCs w:val="21"/>
          <w:highlight w:val="none"/>
        </w:rPr>
        <w:t>一个月内设置固定联系电话，建立24小时值班制度，应付突发事件的发生。</w:t>
      </w:r>
    </w:p>
    <w:p w14:paraId="2DCC3E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4、中标人有完整的病媒生物预防控制操作规程，其中灭蚊、灭蝇、灭蟑螂、灭鼠达到国家“四害”消杀标准，并具有完善的事故应急方案。</w:t>
      </w:r>
    </w:p>
    <w:p w14:paraId="5035FA31">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质量标准</w:t>
      </w:r>
    </w:p>
    <w:p w14:paraId="1004BB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服务质量需参照《病媒生物密度控制水平 鼠类》（GB/T 27770-2011）、《病媒生物密度控制水平 蚊虫》（GB/T 27771-2011）、《病媒生物密度控制水平 蝇类》（GB/T 27772-2025）、《病媒生物密度控制水平 蜚蠊》（GB/T 27773-2011）等国家、行业和地方现行相关标准、规范执行，若项目服务期内国家、行业和地方颁布新的标准、规范，则参照最新的标准、规范执行；应达到省、市、区、街等职能部门的有关要求，确保在服务期内服务的当次当期项目质量符合标准。</w:t>
      </w:r>
    </w:p>
    <w:p w14:paraId="20C2F96B">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五、</w:t>
      </w:r>
      <w:r>
        <w:rPr>
          <w:rFonts w:hint="eastAsia" w:ascii="宋体" w:hAnsi="宋体" w:eastAsia="宋体" w:cs="宋体"/>
          <w:b/>
          <w:color w:val="auto"/>
          <w:sz w:val="21"/>
          <w:szCs w:val="21"/>
          <w:highlight w:val="none"/>
          <w:lang w:val="en-US" w:eastAsia="zh-CN"/>
        </w:rPr>
        <w:t>消杀频次要求</w:t>
      </w:r>
    </w:p>
    <w:p w14:paraId="1B7E582A">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1、一般消杀频率：</w:t>
      </w:r>
    </w:p>
    <w:p w14:paraId="70EA97EB">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灭鼠：每月投放鼠药2-3次，投药后及时清理死鼠，及时检查药饵的损耗情况并及时补充，根据鼠患情况采取相应的投药措施，并做好安全警示，配置投药“灭鼠屋”,避免出现误食事故。</w:t>
      </w:r>
    </w:p>
    <w:p w14:paraId="7859CE1F">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灭蚊、灭蟑螂、灭蝇：在3-5月、9-11月高峰期，每月消杀4次，其余时段每月开展2次的消杀工作。</w:t>
      </w:r>
    </w:p>
    <w:p w14:paraId="769CF45C">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2、重点区域消杀频率：</w:t>
      </w:r>
    </w:p>
    <w:p w14:paraId="48260090">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公园广场及各政府部门、公办教育机构等范围，消杀频次为每周一次。</w:t>
      </w:r>
    </w:p>
    <w:p w14:paraId="656C03A1">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3、特殊情况消杀安排：</w:t>
      </w:r>
    </w:p>
    <w:p w14:paraId="75052FF1">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如有创文、创卫等重大迎检工作时，需按工作要求布置，随时加大消杀频率，并无条件配合完善相关资料，保证顺利完成相关迎检工作。</w:t>
      </w:r>
    </w:p>
    <w:p w14:paraId="024AAFA4">
      <w:pPr>
        <w:pStyle w:val="1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20" w:firstLineChars="200"/>
        <w:textAlignment w:val="auto"/>
        <w:rPr>
          <w:ins w:id="0" w:author="黄汉超" w:date="2026-05-08T09:13:13Z"/>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如辖区范围内出现疑似或确诊的登革热、基孔肯尼亚热等疫情，需根据防控要求，无条件协助做好合同范围内防控消杀相关工作。</w:t>
      </w:r>
    </w:p>
    <w:p w14:paraId="4A1BC702">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六、工作</w:t>
      </w:r>
      <w:r>
        <w:rPr>
          <w:rFonts w:hint="eastAsia" w:ascii="宋体" w:hAnsi="宋体" w:eastAsia="宋体" w:cs="宋体"/>
          <w:b/>
          <w:color w:val="auto"/>
          <w:sz w:val="21"/>
          <w:szCs w:val="21"/>
          <w:highlight w:val="none"/>
        </w:rPr>
        <w:t>要求</w:t>
      </w:r>
    </w:p>
    <w:p w14:paraId="54AAC71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1、中标人必须</w:t>
      </w:r>
      <w:r>
        <w:rPr>
          <w:rFonts w:hint="eastAsia" w:ascii="宋体" w:hAnsi="宋体" w:eastAsia="宋体" w:cs="宋体"/>
          <w:color w:val="auto"/>
          <w:sz w:val="21"/>
          <w:szCs w:val="21"/>
          <w:highlight w:val="none"/>
          <w:lang w:val="en-US" w:eastAsia="zh-CN"/>
        </w:rPr>
        <w:t>按要求频次、工作计划</w:t>
      </w:r>
      <w:r>
        <w:rPr>
          <w:rFonts w:hint="eastAsia" w:ascii="宋体" w:hAnsi="宋体" w:eastAsia="宋体" w:cs="宋体"/>
          <w:color w:val="auto"/>
          <w:sz w:val="21"/>
          <w:szCs w:val="21"/>
          <w:highlight w:val="none"/>
        </w:rPr>
        <w:t>落实镇中心区除“四害”消杀工作，确保</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达到国家卫生镇标准和全国爱卫会规定标准要求。如遇“四害”密度超出标准时，中标人必须服从</w:t>
      </w:r>
      <w:r>
        <w:rPr>
          <w:rFonts w:hint="eastAsia" w:ascii="宋体" w:hAnsi="宋体" w:eastAsia="宋体" w:cs="宋体"/>
          <w:color w:val="auto"/>
          <w:sz w:val="21"/>
          <w:szCs w:val="21"/>
          <w:highlight w:val="none"/>
          <w:lang w:val="en-US" w:eastAsia="zh-CN"/>
        </w:rPr>
        <w:t>采购人和</w:t>
      </w:r>
      <w:r>
        <w:rPr>
          <w:rFonts w:hint="eastAsia" w:ascii="宋体" w:hAnsi="宋体" w:eastAsia="宋体" w:cs="宋体"/>
          <w:color w:val="auto"/>
          <w:sz w:val="21"/>
          <w:szCs w:val="21"/>
          <w:highlight w:val="none"/>
        </w:rPr>
        <w:t>政府</w:t>
      </w:r>
      <w:r>
        <w:rPr>
          <w:rFonts w:hint="eastAsia" w:ascii="宋体" w:hAnsi="宋体" w:eastAsia="宋体" w:cs="宋体"/>
          <w:color w:val="auto"/>
          <w:sz w:val="21"/>
          <w:szCs w:val="21"/>
          <w:highlight w:val="none"/>
          <w:lang w:val="en-US" w:eastAsia="zh-CN"/>
        </w:rPr>
        <w:t>相关部门</w:t>
      </w:r>
      <w:r>
        <w:rPr>
          <w:rFonts w:hint="eastAsia" w:ascii="宋体" w:hAnsi="宋体" w:eastAsia="宋体" w:cs="宋体"/>
          <w:color w:val="auto"/>
          <w:sz w:val="21"/>
          <w:szCs w:val="21"/>
          <w:highlight w:val="none"/>
        </w:rPr>
        <w:t>的工作安排，增加除“四害”的消杀次数。</w:t>
      </w:r>
    </w:p>
    <w:p w14:paraId="0DCFD5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ins w:id="1" w:author="招标代理" w:date="2026-05-12T11:13:15Z">
        <w:r>
          <w:rPr>
            <w:rFonts w:hint="eastAsia" w:ascii="宋体" w:hAnsi="宋体" w:eastAsia="宋体" w:cs="宋体"/>
            <w:color w:val="auto"/>
            <w:highlight w:val="none"/>
            <w:lang w:val="en-US" w:eastAsia="zh-CN"/>
          </w:rPr>
          <w:t>★</w:t>
        </w:r>
      </w:ins>
      <w:r>
        <w:rPr>
          <w:rFonts w:hint="eastAsia" w:ascii="宋体" w:hAnsi="宋体" w:eastAsia="宋体" w:cs="宋体"/>
          <w:color w:val="auto"/>
          <w:sz w:val="21"/>
          <w:szCs w:val="21"/>
          <w:highlight w:val="none"/>
        </w:rPr>
        <w:t>2、中标人必须坚持“预防为主，综合防治”的消杀方针，使用国家规定或爱卫会认定和推荐的药物。药物要建立进出登记台账，并取得“三证”（农药生产许可证或者农药生产批准文件、农药标准证和农药登记证）。除“四害”作业时要注意安全用药，废弃药物要妥善处理，防止污染。</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投标人在投标文件中提供以上资料证明或就上述内容提供承诺函，格式自拟。</w:t>
      </w:r>
      <w:r>
        <w:rPr>
          <w:rFonts w:hint="eastAsia" w:ascii="宋体" w:hAnsi="宋体" w:eastAsia="宋体" w:cs="宋体"/>
          <w:color w:val="auto"/>
          <w:sz w:val="21"/>
          <w:szCs w:val="21"/>
          <w:highlight w:val="none"/>
          <w:lang w:eastAsia="zh-CN"/>
        </w:rPr>
        <w:t>）</w:t>
      </w:r>
    </w:p>
    <w:p w14:paraId="0F08DB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ins w:id="2" w:author="招标代理" w:date="2026-05-15T09:00:09Z">
        <w:r>
          <w:rPr>
            <w:rFonts w:hint="eastAsia" w:ascii="宋体" w:hAnsi="宋体" w:eastAsia="宋体" w:cs="宋体"/>
            <w:color w:val="auto"/>
            <w:highlight w:val="none"/>
            <w:lang w:val="en-US" w:eastAsia="zh-CN"/>
          </w:rPr>
          <w:t>★</w:t>
        </w:r>
      </w:ins>
      <w:r>
        <w:rPr>
          <w:rFonts w:hint="eastAsia" w:ascii="宋体" w:hAnsi="宋体" w:eastAsia="宋体" w:cs="宋体"/>
          <w:color w:val="auto"/>
          <w:sz w:val="21"/>
          <w:szCs w:val="21"/>
          <w:highlight w:val="none"/>
        </w:rPr>
        <w:t>3、中标人必须在黄江镇设立固定服务场所和仓库，供办公及存放药物使用。并设置固定联系电话，建立24小时值班制度，应付突发事件的发生</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投标人在投标文件中就上述内容提供承诺函，格式自拟。</w:t>
      </w:r>
      <w:r>
        <w:rPr>
          <w:rFonts w:hint="eastAsia" w:ascii="宋体" w:hAnsi="宋体" w:eastAsia="宋体" w:cs="宋体"/>
          <w:color w:val="auto"/>
          <w:sz w:val="21"/>
          <w:szCs w:val="21"/>
          <w:highlight w:val="none"/>
          <w:lang w:eastAsia="zh-CN"/>
        </w:rPr>
        <w:t>）</w:t>
      </w:r>
    </w:p>
    <w:p w14:paraId="2A9382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4、除“四害”工作人员需经培训后上岗，按照东莞爱国卫生运动委员会关于除四害工作的法规标准，规范操作。作业时必须统一服装、佩戴工作证、口罩等，服务过程言行礼貌规范，文明上岗。</w:t>
      </w:r>
    </w:p>
    <w:p w14:paraId="05FF93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5、做好</w:t>
      </w:r>
      <w:r>
        <w:rPr>
          <w:rFonts w:hint="eastAsia" w:ascii="宋体" w:hAnsi="宋体" w:eastAsia="宋体" w:cs="宋体"/>
          <w:color w:val="auto"/>
          <w:sz w:val="21"/>
          <w:szCs w:val="21"/>
          <w:highlight w:val="none"/>
          <w:lang w:val="en-US" w:eastAsia="zh-CN"/>
        </w:rPr>
        <w:t>各项调查、工作记录以及</w:t>
      </w:r>
      <w:r>
        <w:rPr>
          <w:rFonts w:hint="eastAsia" w:ascii="宋体" w:hAnsi="宋体" w:eastAsia="宋体" w:cs="宋体"/>
          <w:color w:val="auto"/>
          <w:sz w:val="21"/>
          <w:szCs w:val="21"/>
          <w:highlight w:val="none"/>
        </w:rPr>
        <w:t>开展除四害建档工作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做好每次除“四害”工作的记录（包括消杀时间、天气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处理位置</w:t>
      </w:r>
      <w:r>
        <w:rPr>
          <w:rFonts w:hint="eastAsia" w:ascii="宋体" w:hAnsi="宋体" w:eastAsia="宋体" w:cs="宋体"/>
          <w:color w:val="auto"/>
          <w:sz w:val="21"/>
          <w:szCs w:val="21"/>
          <w:highlight w:val="none"/>
        </w:rPr>
        <w:t>、使用药物、剂量、效果等），每个场所进行消杀工作时必须用水印相机拍照2张</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现场图片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同时做好《“四害”消杀登记记录表》</w:t>
      </w:r>
      <w:r>
        <w:rPr>
          <w:rFonts w:hint="eastAsia" w:ascii="宋体" w:hAnsi="宋体" w:eastAsia="宋体" w:cs="宋体"/>
          <w:color w:val="auto"/>
          <w:sz w:val="21"/>
          <w:szCs w:val="21"/>
          <w:highlight w:val="none"/>
          <w:lang w:val="en-US" w:eastAsia="zh-CN"/>
        </w:rPr>
        <w:t>等资料登记工作</w:t>
      </w:r>
      <w:r>
        <w:rPr>
          <w:rFonts w:hint="eastAsia" w:ascii="宋体" w:hAnsi="宋体" w:eastAsia="宋体" w:cs="宋体"/>
          <w:color w:val="auto"/>
          <w:sz w:val="21"/>
          <w:szCs w:val="21"/>
          <w:highlight w:val="none"/>
        </w:rPr>
        <w:t>。每月5日前提交上个月的资料，并填写工作台帐表，由场所负责人或现场工作人员签名确认</w:t>
      </w:r>
      <w:r>
        <w:rPr>
          <w:rFonts w:hint="eastAsia" w:ascii="宋体" w:hAnsi="宋体" w:eastAsia="宋体" w:cs="宋体"/>
          <w:color w:val="auto"/>
          <w:sz w:val="21"/>
          <w:szCs w:val="21"/>
          <w:highlight w:val="none"/>
          <w:lang w:val="en-US" w:eastAsia="zh-CN"/>
        </w:rPr>
        <w:t>后交采购人存档。</w:t>
      </w:r>
    </w:p>
    <w:p w14:paraId="15AFF5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6、安排专人负责巡查和选点监测除四害效果，并根据实际效果调整用药时间、配方</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753FBE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遵守行业的相关安全生产管理规定，严格按安全标准组织实施，采取必要的安全防护措施，消除事故隐患，并接受采购人及相关部门的监督检查。服务期间，因中标人违反安全操作规程或安全措施不力造成的损失和责任均由供应商承担。</w:t>
      </w:r>
    </w:p>
    <w:p w14:paraId="0396E50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自合同生效期起始日起计一星期内，根据黄江镇的实际情况和采购人的要求</w:t>
      </w:r>
      <w:r>
        <w:rPr>
          <w:rFonts w:hint="eastAsia" w:ascii="宋体" w:hAnsi="宋体" w:eastAsia="宋体" w:cs="宋体"/>
          <w:color w:val="auto"/>
          <w:sz w:val="21"/>
          <w:szCs w:val="21"/>
          <w:highlight w:val="none"/>
          <w:lang w:val="en-US" w:eastAsia="zh-CN"/>
        </w:rPr>
        <w:t>制定</w:t>
      </w:r>
      <w:r>
        <w:rPr>
          <w:rFonts w:hint="eastAsia" w:ascii="宋体" w:hAnsi="宋体" w:eastAsia="宋体" w:cs="宋体"/>
          <w:color w:val="auto"/>
          <w:sz w:val="21"/>
          <w:szCs w:val="21"/>
          <w:highlight w:val="none"/>
        </w:rPr>
        <w:t>《黄江镇“四害”消杀实施方案》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交采购人存档。</w:t>
      </w:r>
    </w:p>
    <w:p w14:paraId="2742A9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合同期内中标人应严格执行广东省人民政府令第167号《广东省病媒生物预防控制管理规定》，严格按照相关要求执行现场各项管理，接受市爱卫办监督检查和考核。</w:t>
      </w:r>
    </w:p>
    <w:p w14:paraId="2051E3B8">
      <w:pPr>
        <w:pStyle w:val="3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中标人服务质量</w:t>
      </w:r>
      <w:r>
        <w:rPr>
          <w:rFonts w:hint="eastAsia" w:ascii="宋体" w:hAnsi="宋体" w:eastAsia="宋体" w:cs="宋体"/>
          <w:color w:val="auto"/>
          <w:sz w:val="21"/>
          <w:szCs w:val="21"/>
          <w:highlight w:val="none"/>
        </w:rPr>
        <w:t>必须接受采购人、属地社区、第三方评估机构履行监督管理职能，包括作业监管、质量检查、综合评价、巡查评分扣减</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费等，</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必须无条件服从。</w:t>
      </w:r>
    </w:p>
    <w:p w14:paraId="15877D3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、人员、设备及药物配置要求</w:t>
      </w:r>
    </w:p>
    <w:p w14:paraId="1BF9505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1、人员配置要求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47"/>
        <w:gridCol w:w="2099"/>
        <w:gridCol w:w="2501"/>
      </w:tblGrid>
      <w:tr w14:paraId="4186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14:paraId="48A25308">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b/>
                <w:color w:val="auto"/>
                <w:sz w:val="21"/>
                <w:szCs w:val="21"/>
                <w:highlight w:val="none"/>
              </w:rPr>
              <w:t>序号</w:t>
            </w:r>
          </w:p>
        </w:tc>
        <w:tc>
          <w:tcPr>
            <w:tcW w:w="1554" w:type="pct"/>
            <w:vAlign w:val="center"/>
          </w:tcPr>
          <w:p w14:paraId="2C9FEEDF">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b/>
                <w:color w:val="auto"/>
                <w:sz w:val="21"/>
                <w:szCs w:val="21"/>
                <w:highlight w:val="none"/>
              </w:rPr>
              <w:t>岗位</w:t>
            </w:r>
          </w:p>
        </w:tc>
        <w:tc>
          <w:tcPr>
            <w:tcW w:w="1232" w:type="pct"/>
            <w:vAlign w:val="center"/>
          </w:tcPr>
          <w:p w14:paraId="6AB93318">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b/>
                <w:color w:val="auto"/>
                <w:sz w:val="21"/>
                <w:szCs w:val="21"/>
                <w:highlight w:val="none"/>
              </w:rPr>
              <w:t>人数</w:t>
            </w:r>
          </w:p>
        </w:tc>
        <w:tc>
          <w:tcPr>
            <w:tcW w:w="1468" w:type="pct"/>
            <w:vAlign w:val="center"/>
          </w:tcPr>
          <w:p w14:paraId="07AB131E">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b/>
                <w:color w:val="auto"/>
                <w:sz w:val="21"/>
                <w:szCs w:val="21"/>
                <w:highlight w:val="none"/>
              </w:rPr>
              <w:t>备注</w:t>
            </w:r>
          </w:p>
        </w:tc>
      </w:tr>
      <w:tr w14:paraId="196B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14:paraId="480BA905">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1</w:t>
            </w:r>
          </w:p>
        </w:tc>
        <w:tc>
          <w:tcPr>
            <w:tcW w:w="1554" w:type="pct"/>
            <w:vAlign w:val="center"/>
          </w:tcPr>
          <w:p w14:paraId="057A0A7F">
            <w:pPr>
              <w:pStyle w:val="30"/>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p w14:paraId="16974D8A">
            <w:pPr>
              <w:pStyle w:val="30"/>
              <w:widowControl w:val="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color w:val="auto"/>
                <w:sz w:val="21"/>
                <w:szCs w:val="21"/>
                <w:highlight w:val="none"/>
                <w:lang w:eastAsia="zh-CN"/>
              </w:rPr>
              <w:t>（现场负责人）</w:t>
            </w:r>
          </w:p>
        </w:tc>
        <w:tc>
          <w:tcPr>
            <w:tcW w:w="1232" w:type="pct"/>
            <w:vAlign w:val="center"/>
          </w:tcPr>
          <w:p w14:paraId="2EADAA28">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1</w:t>
            </w:r>
          </w:p>
        </w:tc>
        <w:tc>
          <w:tcPr>
            <w:tcW w:w="1468" w:type="pct"/>
            <w:vAlign w:val="center"/>
          </w:tcPr>
          <w:p w14:paraId="1C21B900">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负责全面工作</w:t>
            </w:r>
          </w:p>
        </w:tc>
      </w:tr>
      <w:tr w14:paraId="1C06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14:paraId="45A5FCD9">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2</w:t>
            </w:r>
          </w:p>
        </w:tc>
        <w:tc>
          <w:tcPr>
            <w:tcW w:w="1554" w:type="pct"/>
            <w:vAlign w:val="center"/>
          </w:tcPr>
          <w:p w14:paraId="4936613E">
            <w:pPr>
              <w:pStyle w:val="30"/>
              <w:widowControl w:val="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资料员</w:t>
            </w:r>
          </w:p>
        </w:tc>
        <w:tc>
          <w:tcPr>
            <w:tcW w:w="1232" w:type="pct"/>
            <w:vAlign w:val="center"/>
          </w:tcPr>
          <w:p w14:paraId="29C66A05">
            <w:pPr>
              <w:pStyle w:val="30"/>
              <w:widowControl w:val="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1</w:t>
            </w:r>
          </w:p>
        </w:tc>
        <w:tc>
          <w:tcPr>
            <w:tcW w:w="1468" w:type="pct"/>
            <w:vAlign w:val="center"/>
          </w:tcPr>
          <w:p w14:paraId="6FC312D3">
            <w:pPr>
              <w:pStyle w:val="30"/>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图片、报告、台账等资料整理</w:t>
            </w:r>
          </w:p>
        </w:tc>
      </w:tr>
      <w:tr w14:paraId="2F4D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pct"/>
            <w:vAlign w:val="center"/>
          </w:tcPr>
          <w:p w14:paraId="7DBBE26D">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3</w:t>
            </w:r>
          </w:p>
        </w:tc>
        <w:tc>
          <w:tcPr>
            <w:tcW w:w="1554" w:type="pct"/>
            <w:vAlign w:val="center"/>
          </w:tcPr>
          <w:p w14:paraId="25C6FC03">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技术人员</w:t>
            </w:r>
          </w:p>
        </w:tc>
        <w:tc>
          <w:tcPr>
            <w:tcW w:w="1232" w:type="pct"/>
            <w:vAlign w:val="center"/>
          </w:tcPr>
          <w:p w14:paraId="38423DAE">
            <w:pPr>
              <w:pStyle w:val="30"/>
              <w:widowControl w:val="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8</w:t>
            </w:r>
          </w:p>
        </w:tc>
        <w:tc>
          <w:tcPr>
            <w:tcW w:w="1468" w:type="pct"/>
            <w:vAlign w:val="center"/>
          </w:tcPr>
          <w:p w14:paraId="577C91FD">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现场作业人员</w:t>
            </w:r>
          </w:p>
        </w:tc>
      </w:tr>
      <w:tr w14:paraId="06F7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9" w:type="pct"/>
            <w:gridSpan w:val="2"/>
            <w:vAlign w:val="center"/>
          </w:tcPr>
          <w:p w14:paraId="5F41C2E7">
            <w:pPr>
              <w:pStyle w:val="30"/>
              <w:widowControl w:val="0"/>
              <w:jc w:val="center"/>
              <w:rPr>
                <w:rFonts w:hint="eastAsia" w:ascii="宋体" w:hAnsi="宋体" w:eastAsia="宋体" w:cs="宋体"/>
                <w:b/>
                <w:color w:val="auto"/>
                <w:sz w:val="21"/>
                <w:szCs w:val="21"/>
                <w:highlight w:val="none"/>
                <w:vertAlign w:val="baseline"/>
              </w:rPr>
            </w:pPr>
            <w:r>
              <w:rPr>
                <w:rFonts w:hint="eastAsia" w:ascii="宋体" w:hAnsi="宋体" w:eastAsia="宋体" w:cs="宋体"/>
                <w:color w:val="auto"/>
                <w:sz w:val="21"/>
                <w:szCs w:val="21"/>
                <w:highlight w:val="none"/>
              </w:rPr>
              <w:t>合计</w:t>
            </w:r>
          </w:p>
        </w:tc>
        <w:tc>
          <w:tcPr>
            <w:tcW w:w="1232" w:type="pct"/>
            <w:vAlign w:val="center"/>
          </w:tcPr>
          <w:p w14:paraId="55ECA6C4">
            <w:pPr>
              <w:pStyle w:val="30"/>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10</w:t>
            </w:r>
          </w:p>
        </w:tc>
        <w:tc>
          <w:tcPr>
            <w:tcW w:w="1468" w:type="pct"/>
            <w:vAlign w:val="center"/>
          </w:tcPr>
          <w:p w14:paraId="4D993A6B">
            <w:pPr>
              <w:pStyle w:val="30"/>
              <w:widowControl w:val="0"/>
              <w:jc w:val="center"/>
              <w:rPr>
                <w:rFonts w:hint="eastAsia" w:ascii="宋体" w:hAnsi="宋体" w:eastAsia="宋体" w:cs="宋体"/>
                <w:b/>
                <w:color w:val="auto"/>
                <w:sz w:val="21"/>
                <w:szCs w:val="21"/>
                <w:highlight w:val="none"/>
                <w:vertAlign w:val="baseline"/>
              </w:rPr>
            </w:pPr>
          </w:p>
        </w:tc>
      </w:tr>
    </w:tbl>
    <w:p w14:paraId="67B85477">
      <w:pPr>
        <w:pStyle w:val="30"/>
        <w:spacing w:line="360" w:lineRule="auto"/>
        <w:ind w:firstLine="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项目负责人一名，</w:t>
      </w:r>
      <w:r>
        <w:rPr>
          <w:rFonts w:hint="eastAsia" w:ascii="宋体" w:hAnsi="宋体" w:eastAsia="宋体" w:cs="宋体"/>
          <w:color w:val="auto"/>
          <w:sz w:val="21"/>
          <w:szCs w:val="21"/>
          <w:highlight w:val="none"/>
          <w:lang w:val="en-US" w:eastAsia="zh-CN"/>
        </w:rPr>
        <w:t>兼任现场负责人，除全面统筹、管理和协调工作，并制定每次的除四害工作方案外，还负责组织实施现场工作。</w:t>
      </w:r>
      <w:r>
        <w:rPr>
          <w:rFonts w:hint="eastAsia" w:ascii="宋体" w:hAnsi="宋体" w:eastAsia="宋体" w:cs="宋体"/>
          <w:color w:val="auto"/>
          <w:sz w:val="21"/>
          <w:szCs w:val="21"/>
          <w:highlight w:val="none"/>
        </w:rPr>
        <w:t>项目负责人需具有三级/高级（含）以上有害生物防制员</w:t>
      </w:r>
      <w:r>
        <w:rPr>
          <w:rFonts w:hint="eastAsia" w:ascii="宋体" w:hAnsi="宋体" w:eastAsia="宋体" w:cs="宋体"/>
          <w:color w:val="auto"/>
          <w:sz w:val="21"/>
          <w:szCs w:val="21"/>
          <w:highlight w:val="none"/>
          <w:lang w:val="en-US" w:eastAsia="zh-CN"/>
        </w:rPr>
        <w:t>资格</w:t>
      </w:r>
      <w:r>
        <w:rPr>
          <w:rFonts w:hint="eastAsia" w:ascii="宋体" w:hAnsi="宋体" w:eastAsia="宋体" w:cs="宋体"/>
          <w:color w:val="auto"/>
          <w:sz w:val="21"/>
          <w:szCs w:val="21"/>
          <w:highlight w:val="none"/>
        </w:rPr>
        <w:t>证书；在防控病媒生物（如登革热、基孔肯亚热）有熟练经验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技术人员</w:t>
      </w:r>
      <w:r>
        <w:rPr>
          <w:rFonts w:hint="eastAsia" w:ascii="宋体" w:hAnsi="宋体" w:eastAsia="宋体" w:cs="宋体"/>
          <w:color w:val="auto"/>
          <w:sz w:val="21"/>
          <w:szCs w:val="21"/>
          <w:highlight w:val="none"/>
          <w:lang w:val="en-US" w:eastAsia="zh-CN"/>
        </w:rPr>
        <w:t>也</w:t>
      </w:r>
      <w:r>
        <w:rPr>
          <w:rFonts w:hint="eastAsia" w:ascii="宋体" w:hAnsi="宋体" w:eastAsia="宋体" w:cs="宋体"/>
          <w:color w:val="auto"/>
          <w:sz w:val="21"/>
          <w:szCs w:val="21"/>
          <w:highlight w:val="none"/>
        </w:rPr>
        <w:t>必须取得有害生物防</w:t>
      </w:r>
      <w:r>
        <w:rPr>
          <w:rFonts w:hint="eastAsia" w:ascii="宋体" w:hAnsi="宋体" w:eastAsia="宋体" w:cs="宋体"/>
          <w:color w:val="auto"/>
          <w:sz w:val="21"/>
          <w:szCs w:val="21"/>
          <w:highlight w:val="none"/>
          <w:lang w:val="en-US"/>
        </w:rPr>
        <w:t>制</w:t>
      </w:r>
      <w:r>
        <w:rPr>
          <w:rFonts w:hint="eastAsia" w:ascii="宋体" w:hAnsi="宋体" w:eastAsia="宋体" w:cs="宋体"/>
          <w:color w:val="auto"/>
          <w:sz w:val="21"/>
          <w:szCs w:val="21"/>
          <w:highlight w:val="none"/>
        </w:rPr>
        <w:t>员</w:t>
      </w:r>
      <w:r>
        <w:rPr>
          <w:rFonts w:hint="eastAsia" w:ascii="宋体" w:hAnsi="宋体" w:eastAsia="宋体" w:cs="宋体"/>
          <w:color w:val="auto"/>
          <w:sz w:val="21"/>
          <w:szCs w:val="21"/>
          <w:highlight w:val="none"/>
          <w:lang w:val="en-US" w:eastAsia="zh-CN"/>
        </w:rPr>
        <w:t>资格</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等级不做要求</w:t>
      </w:r>
      <w:r>
        <w:rPr>
          <w:rFonts w:hint="eastAsia" w:ascii="宋体" w:hAnsi="宋体" w:eastAsia="宋体" w:cs="宋体"/>
          <w:color w:val="auto"/>
          <w:sz w:val="21"/>
          <w:szCs w:val="21"/>
          <w:highlight w:val="none"/>
        </w:rPr>
        <w:t>。</w:t>
      </w:r>
      <w:r>
        <w:rPr>
          <w:rFonts w:hint="eastAsia" w:ascii="宋体" w:hAnsi="宋体" w:eastAsia="宋体" w:cs="宋体"/>
          <w:b/>
          <w:color w:val="auto"/>
          <w:sz w:val="21"/>
          <w:highlight w:val="none"/>
        </w:rPr>
        <w:t>（投标人须在投标文件中提供上述人员证书复印件，以及距开标时间（不含当月）近</w:t>
      </w:r>
      <w:r>
        <w:rPr>
          <w:rFonts w:hint="eastAsia" w:ascii="宋体" w:hAnsi="宋体" w:eastAsia="宋体" w:cs="宋体"/>
          <w:b/>
          <w:color w:val="auto"/>
          <w:sz w:val="21"/>
          <w:highlight w:val="none"/>
          <w:lang w:val="en-US" w:eastAsia="zh-CN"/>
        </w:rPr>
        <w:t>6个月</w:t>
      </w:r>
      <w:r>
        <w:rPr>
          <w:rFonts w:hint="eastAsia" w:ascii="宋体" w:hAnsi="宋体" w:eastAsia="宋体" w:cs="宋体"/>
          <w:b/>
          <w:color w:val="auto"/>
          <w:sz w:val="21"/>
          <w:highlight w:val="none"/>
        </w:rPr>
        <w:t>内任意1个月由社会保障部门出具的在投标单位（含其分支机构）缴纳社会保险的有效凭证复印件并加盖公章；或在投标文件中就上述内容提供承诺函，格式自拟。）</w:t>
      </w:r>
    </w:p>
    <w:p w14:paraId="09E688D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eastAsia="宋体" w:cs="宋体"/>
          <w:color w:val="auto"/>
          <w:sz w:val="21"/>
          <w:szCs w:val="21"/>
          <w:highlight w:val="none"/>
        </w:rPr>
        <w:t>中标人须</w:t>
      </w:r>
      <w:r>
        <w:rPr>
          <w:rFonts w:hint="eastAsia" w:ascii="宋体" w:hAnsi="宋体" w:eastAsia="宋体" w:cs="宋体"/>
          <w:color w:val="auto"/>
          <w:sz w:val="21"/>
          <w:szCs w:val="21"/>
          <w:highlight w:val="none"/>
          <w:lang w:val="en-US" w:eastAsia="zh-CN"/>
        </w:rPr>
        <w:t>在合同签订后一星期内将本项目</w:t>
      </w:r>
      <w:r>
        <w:rPr>
          <w:rFonts w:hint="eastAsia" w:ascii="宋体" w:hAnsi="宋体" w:eastAsia="宋体" w:cs="宋体"/>
          <w:color w:val="auto"/>
          <w:sz w:val="21"/>
          <w:szCs w:val="21"/>
          <w:highlight w:val="none"/>
        </w:rPr>
        <w:t>有关人员职责名单及资质证、上岗证</w:t>
      </w:r>
      <w:r>
        <w:rPr>
          <w:rFonts w:hint="eastAsia" w:ascii="宋体" w:hAnsi="宋体" w:eastAsia="宋体" w:cs="宋体"/>
          <w:color w:val="auto"/>
          <w:sz w:val="21"/>
          <w:szCs w:val="21"/>
          <w:highlight w:val="none"/>
          <w:lang w:val="en-US" w:eastAsia="zh-CN"/>
        </w:rPr>
        <w:t>原件</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送采购人核验，同时将盖章复印件交采购人存档</w:t>
      </w:r>
      <w:r>
        <w:rPr>
          <w:rFonts w:hint="eastAsia" w:ascii="宋体" w:hAnsi="宋体" w:eastAsia="宋体" w:cs="宋体"/>
          <w:color w:val="auto"/>
          <w:sz w:val="21"/>
          <w:szCs w:val="21"/>
          <w:highlight w:val="none"/>
        </w:rPr>
        <w:t>。</w:t>
      </w:r>
    </w:p>
    <w:p w14:paraId="02477A7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（3）</w:t>
      </w:r>
      <w:r>
        <w:rPr>
          <w:rFonts w:hint="eastAsia" w:ascii="宋体" w:hAnsi="宋体" w:eastAsia="宋体" w:cs="宋体"/>
          <w:b w:val="0"/>
          <w:bCs/>
          <w:color w:val="auto"/>
          <w:sz w:val="21"/>
          <w:szCs w:val="21"/>
          <w:highlight w:val="none"/>
          <w:lang w:val="en-US" w:eastAsia="zh-CN"/>
        </w:rPr>
        <w:t>中标人要为服务安全负责。在为采购人服务期间，中标人在中标后必须按照规定给聘用员工购买相应的责任保险及其派出的现场工作人员的人身意外等保险，费用由中标人自理。在服务过程中，做好各项安全保护工作，严格管理，对他们的行为负全责。</w:t>
      </w:r>
    </w:p>
    <w:p w14:paraId="4A07FC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（4）应急情况工作人员要求：在突发状况时或疫情发生时，中标人需成立应急工作队，人员应具备相应的应急处置能力。</w:t>
      </w:r>
    </w:p>
    <w:p w14:paraId="7A3E55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color w:val="auto"/>
          <w:sz w:val="21"/>
          <w:highlight w:val="none"/>
        </w:rPr>
        <w:t>中标人必须依据国家和地方政府颁布的法律法规的规定处理与员工的雇佣关系，</w:t>
      </w:r>
      <w:r>
        <w:rPr>
          <w:rFonts w:hint="eastAsia" w:ascii="宋体" w:hAnsi="宋体" w:eastAsia="宋体" w:cs="宋体"/>
          <w:b w:val="0"/>
          <w:bCs/>
          <w:color w:val="auto"/>
          <w:sz w:val="21"/>
          <w:szCs w:val="21"/>
          <w:highlight w:val="none"/>
          <w:lang w:val="en-US" w:eastAsia="zh-CN"/>
        </w:rPr>
        <w:t xml:space="preserve">如有发生劳资纠纷、意外（包括但不限于：生病、伤亡事故等）或违反规定、触犯国家法律等行为，由中标人承担全部责任，与采购人无关，采购人不负经济和法律责任。 </w:t>
      </w:r>
    </w:p>
    <w:p w14:paraId="19A960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中标人必须保证日常服务人员的稳定性，便于日常联系安排消杀防制工作。如有人员变动，需以书面形式报采购人备案；未经采购人同意，中标人不得随意更换项目负责人，如需更换，应提前一个月以书面形式通知采购人，其他工作人员更换应提前一周告知采购人，重新指派人员的资历不得低于被更换人员的资历，确保服务质量不因人员变动而受影响。对中标人不称职的工作人员，采购人有权要求中标人限期更换。</w:t>
      </w:r>
    </w:p>
    <w:p w14:paraId="5160CE2E">
      <w:pPr>
        <w:pStyle w:val="12"/>
        <w:spacing w:line="360" w:lineRule="auto"/>
        <w:ind w:left="0"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（7）中标人应建立</w:t>
      </w:r>
      <w:r>
        <w:rPr>
          <w:rFonts w:hint="eastAsia" w:ascii="宋体" w:hAnsi="宋体" w:eastAsia="宋体" w:cs="宋体"/>
          <w:color w:val="auto"/>
          <w:highlight w:val="none"/>
          <w:lang w:val="en-US" w:eastAsia="zh-CN"/>
        </w:rPr>
        <w:t>人员</w:t>
      </w:r>
      <w:r>
        <w:rPr>
          <w:rFonts w:hint="eastAsia" w:ascii="宋体" w:hAnsi="宋体" w:eastAsia="宋体" w:cs="宋体"/>
          <w:color w:val="auto"/>
          <w:highlight w:val="none"/>
          <w:lang w:val="en-US" w:eastAsia="zh-CN"/>
        </w:rPr>
        <w:t>管理</w:t>
      </w:r>
      <w:r>
        <w:rPr>
          <w:rFonts w:hint="eastAsia" w:ascii="宋体" w:hAnsi="宋体" w:eastAsia="宋体" w:cs="宋体"/>
          <w:color w:val="auto"/>
          <w:highlight w:val="none"/>
          <w:lang w:val="en-US" w:eastAsia="zh-CN"/>
        </w:rPr>
        <w:t>名册，人员名册上要登记入职人员的姓名、性别、身份证号码、本地住址、联系电话号码、职务、工号、工作职责和范围，每本人员名册都相应附上清晰身份证复印件。供应商提供人员名册和身份证复印件，协助采购人和第三方评估机构不定期现场验收清点人数。</w:t>
      </w:r>
    </w:p>
    <w:p w14:paraId="542AAFBA">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拟投入本项目必要的设备</w:t>
      </w:r>
      <w:r>
        <w:rPr>
          <w:rFonts w:hint="eastAsia" w:ascii="宋体" w:hAnsi="宋体" w:eastAsia="宋体" w:cs="宋体"/>
          <w:b/>
          <w:bCs/>
          <w:color w:val="auto"/>
          <w:highlight w:val="none"/>
          <w:lang w:val="en-US" w:eastAsia="zh-CN"/>
        </w:rPr>
        <w:t>及要求</w:t>
      </w:r>
    </w:p>
    <w:p w14:paraId="04B7A146">
      <w:pPr>
        <w:pStyle w:val="12"/>
        <w:spacing w:line="360" w:lineRule="auto"/>
        <w:ind w:left="0" w:leftChars="0"/>
        <w:rPr>
          <w:rFonts w:hint="eastAsia" w:ascii="宋体" w:hAnsi="宋体" w:eastAsia="宋体" w:cs="宋体"/>
          <w:color w:val="auto"/>
          <w:highlight w:val="none"/>
          <w:lang w:eastAsia="zh-CN"/>
        </w:rPr>
      </w:pPr>
      <w:r>
        <w:rPr>
          <w:rFonts w:hint="eastAsia" w:ascii="宋体" w:hAnsi="宋体" w:eastAsia="宋体" w:cs="宋体"/>
          <w:color w:val="auto"/>
          <w:highlight w:val="none"/>
        </w:rPr>
        <w:t>为保障工作质量，中标</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必须配备足够的设备服务于本项目</w:t>
      </w:r>
      <w:r>
        <w:rPr>
          <w:rFonts w:hint="eastAsia" w:ascii="宋体" w:hAnsi="宋体" w:eastAsia="宋体" w:cs="宋体"/>
          <w:color w:val="auto"/>
          <w:highlight w:val="none"/>
          <w:lang w:eastAsia="zh-CN"/>
        </w:rPr>
        <w:t>。</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2855"/>
        <w:gridCol w:w="2130"/>
        <w:gridCol w:w="2130"/>
      </w:tblGrid>
      <w:tr w14:paraId="60AA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shd w:val="clear" w:color="auto" w:fill="auto"/>
            <w:vAlign w:val="center"/>
          </w:tcPr>
          <w:p w14:paraId="6C6FFF44">
            <w:pPr>
              <w:pStyle w:val="30"/>
              <w:widowControl w:val="0"/>
              <w:spacing w:line="360" w:lineRule="auto"/>
              <w:jc w:val="center"/>
              <w:rPr>
                <w:rFonts w:hint="eastAsia" w:ascii="宋体" w:hAnsi="宋体" w:eastAsia="宋体" w:cs="宋体"/>
                <w:b w:val="0"/>
                <w:bCs w:val="0"/>
                <w:color w:val="auto"/>
                <w:highlight w:val="none"/>
                <w:lang w:val="en-US" w:eastAsia="zh-Hans"/>
              </w:rPr>
            </w:pPr>
            <w:r>
              <w:rPr>
                <w:rFonts w:hint="eastAsia" w:ascii="宋体" w:hAnsi="宋体" w:eastAsia="宋体" w:cs="宋体"/>
                <w:b w:val="0"/>
                <w:bCs w:val="0"/>
                <w:color w:val="auto"/>
                <w:sz w:val="19"/>
                <w:highlight w:val="none"/>
              </w:rPr>
              <w:t>序号</w:t>
            </w:r>
          </w:p>
        </w:tc>
        <w:tc>
          <w:tcPr>
            <w:tcW w:w="1676" w:type="pct"/>
            <w:shd w:val="clear" w:color="auto" w:fill="auto"/>
            <w:vAlign w:val="center"/>
          </w:tcPr>
          <w:p w14:paraId="7882FD91">
            <w:pPr>
              <w:pStyle w:val="30"/>
              <w:widowControl w:val="0"/>
              <w:spacing w:line="360" w:lineRule="auto"/>
              <w:jc w:val="center"/>
              <w:rPr>
                <w:rFonts w:hint="eastAsia" w:ascii="宋体" w:hAnsi="宋体" w:eastAsia="宋体" w:cs="宋体"/>
                <w:b w:val="0"/>
                <w:bCs w:val="0"/>
                <w:color w:val="auto"/>
                <w:highlight w:val="none"/>
                <w:lang w:val="en-US" w:eastAsia="zh-Hans"/>
              </w:rPr>
            </w:pPr>
            <w:r>
              <w:rPr>
                <w:rFonts w:hint="eastAsia" w:ascii="宋体" w:hAnsi="宋体" w:eastAsia="宋体" w:cs="宋体"/>
                <w:b w:val="0"/>
                <w:bCs w:val="0"/>
                <w:color w:val="auto"/>
                <w:sz w:val="19"/>
                <w:highlight w:val="none"/>
              </w:rPr>
              <w:t>项目</w:t>
            </w:r>
          </w:p>
        </w:tc>
        <w:tc>
          <w:tcPr>
            <w:tcW w:w="1250" w:type="pct"/>
            <w:shd w:val="clear" w:color="auto" w:fill="auto"/>
            <w:vAlign w:val="center"/>
          </w:tcPr>
          <w:p w14:paraId="61BC24C0">
            <w:pPr>
              <w:pStyle w:val="30"/>
              <w:widowControl w:val="0"/>
              <w:spacing w:line="360" w:lineRule="auto"/>
              <w:jc w:val="center"/>
              <w:rPr>
                <w:rFonts w:hint="eastAsia" w:ascii="宋体" w:hAnsi="宋体" w:eastAsia="宋体" w:cs="宋体"/>
                <w:b w:val="0"/>
                <w:bCs w:val="0"/>
                <w:color w:val="auto"/>
                <w:highlight w:val="none"/>
                <w:lang w:val="en-US" w:eastAsia="zh-Hans"/>
              </w:rPr>
            </w:pPr>
            <w:r>
              <w:rPr>
                <w:rFonts w:hint="eastAsia" w:ascii="宋体" w:hAnsi="宋体" w:eastAsia="宋体" w:cs="宋体"/>
                <w:b w:val="0"/>
                <w:bCs w:val="0"/>
                <w:color w:val="auto"/>
                <w:sz w:val="19"/>
                <w:highlight w:val="none"/>
              </w:rPr>
              <w:t>单位</w:t>
            </w:r>
          </w:p>
        </w:tc>
        <w:tc>
          <w:tcPr>
            <w:tcW w:w="1250" w:type="pct"/>
            <w:shd w:val="clear" w:color="auto" w:fill="auto"/>
            <w:vAlign w:val="center"/>
          </w:tcPr>
          <w:p w14:paraId="13CC3544">
            <w:pPr>
              <w:pStyle w:val="30"/>
              <w:widowControl w:val="0"/>
              <w:spacing w:line="360" w:lineRule="auto"/>
              <w:jc w:val="center"/>
              <w:rPr>
                <w:rFonts w:hint="eastAsia" w:ascii="宋体" w:hAnsi="宋体" w:eastAsia="宋体" w:cs="宋体"/>
                <w:b w:val="0"/>
                <w:bCs w:val="0"/>
                <w:color w:val="auto"/>
                <w:highlight w:val="none"/>
                <w:lang w:val="en-US" w:eastAsia="zh-Hans"/>
              </w:rPr>
            </w:pPr>
            <w:r>
              <w:rPr>
                <w:rFonts w:hint="eastAsia" w:ascii="宋体" w:hAnsi="宋体" w:eastAsia="宋体" w:cs="宋体"/>
                <w:b w:val="0"/>
                <w:bCs w:val="0"/>
                <w:color w:val="auto"/>
                <w:sz w:val="19"/>
                <w:highlight w:val="none"/>
              </w:rPr>
              <w:t>数量</w:t>
            </w:r>
          </w:p>
        </w:tc>
      </w:tr>
      <w:tr w14:paraId="6BC1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vAlign w:val="center"/>
          </w:tcPr>
          <w:p w14:paraId="70B447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w:t>
            </w:r>
          </w:p>
        </w:tc>
        <w:tc>
          <w:tcPr>
            <w:tcW w:w="1676" w:type="pct"/>
            <w:vAlign w:val="center"/>
          </w:tcPr>
          <w:p w14:paraId="744B7A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lang w:val="en-US" w:eastAsia="zh-CN"/>
              </w:rPr>
              <w:t>作业</w:t>
            </w:r>
            <w:r>
              <w:rPr>
                <w:rFonts w:hint="eastAsia" w:ascii="宋体" w:hAnsi="宋体" w:eastAsia="宋体" w:cs="宋体"/>
                <w:b w:val="0"/>
                <w:bCs w:val="0"/>
                <w:color w:val="auto"/>
                <w:highlight w:val="none"/>
                <w:vertAlign w:val="baseline"/>
              </w:rPr>
              <w:t>车辆</w:t>
            </w:r>
          </w:p>
        </w:tc>
        <w:tc>
          <w:tcPr>
            <w:tcW w:w="1250" w:type="pct"/>
            <w:vAlign w:val="center"/>
          </w:tcPr>
          <w:p w14:paraId="0FEDE5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辆</w:t>
            </w:r>
          </w:p>
        </w:tc>
        <w:tc>
          <w:tcPr>
            <w:tcW w:w="1250" w:type="pct"/>
            <w:vAlign w:val="center"/>
          </w:tcPr>
          <w:p w14:paraId="689704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3</w:t>
            </w:r>
          </w:p>
        </w:tc>
      </w:tr>
      <w:tr w14:paraId="6AF6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vAlign w:val="center"/>
          </w:tcPr>
          <w:p w14:paraId="60E640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2</w:t>
            </w:r>
          </w:p>
        </w:tc>
        <w:tc>
          <w:tcPr>
            <w:tcW w:w="1676" w:type="pct"/>
            <w:vAlign w:val="center"/>
          </w:tcPr>
          <w:p w14:paraId="72BBBC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rPr>
            </w:pPr>
            <w:r>
              <w:rPr>
                <w:rFonts w:hint="eastAsia" w:ascii="宋体" w:hAnsi="宋体" w:eastAsia="宋体" w:cs="宋体"/>
                <w:color w:val="auto"/>
                <w:sz w:val="21"/>
                <w:szCs w:val="21"/>
                <w:highlight w:val="none"/>
              </w:rPr>
              <w:t>热烟雾机</w:t>
            </w:r>
          </w:p>
        </w:tc>
        <w:tc>
          <w:tcPr>
            <w:tcW w:w="1250" w:type="pct"/>
            <w:vAlign w:val="center"/>
          </w:tcPr>
          <w:p w14:paraId="233F97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台</w:t>
            </w:r>
          </w:p>
        </w:tc>
        <w:tc>
          <w:tcPr>
            <w:tcW w:w="1250" w:type="pct"/>
            <w:vAlign w:val="center"/>
          </w:tcPr>
          <w:p w14:paraId="6C2945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10</w:t>
            </w:r>
          </w:p>
        </w:tc>
      </w:tr>
      <w:tr w14:paraId="602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vAlign w:val="center"/>
          </w:tcPr>
          <w:p w14:paraId="573C6C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3</w:t>
            </w:r>
          </w:p>
        </w:tc>
        <w:tc>
          <w:tcPr>
            <w:tcW w:w="1676" w:type="pct"/>
            <w:vAlign w:val="center"/>
          </w:tcPr>
          <w:p w14:paraId="6F6E14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rPr>
            </w:pPr>
            <w:r>
              <w:rPr>
                <w:rFonts w:hint="eastAsia" w:ascii="宋体" w:hAnsi="宋体" w:eastAsia="宋体" w:cs="宋体"/>
                <w:color w:val="auto"/>
                <w:sz w:val="21"/>
                <w:szCs w:val="21"/>
                <w:highlight w:val="none"/>
              </w:rPr>
              <w:t>背负式超低容量喷雾器</w:t>
            </w:r>
          </w:p>
        </w:tc>
        <w:tc>
          <w:tcPr>
            <w:tcW w:w="1250" w:type="pct"/>
            <w:vAlign w:val="center"/>
          </w:tcPr>
          <w:p w14:paraId="5D5782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lang w:val="en-US" w:eastAsia="zh-CN"/>
              </w:rPr>
              <w:t>台</w:t>
            </w:r>
          </w:p>
        </w:tc>
        <w:tc>
          <w:tcPr>
            <w:tcW w:w="1250" w:type="pct"/>
            <w:vAlign w:val="center"/>
          </w:tcPr>
          <w:p w14:paraId="20BD1AC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7</w:t>
            </w:r>
          </w:p>
        </w:tc>
      </w:tr>
      <w:tr w14:paraId="5E9B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pct"/>
            <w:vAlign w:val="center"/>
          </w:tcPr>
          <w:p w14:paraId="2F33B6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4</w:t>
            </w:r>
          </w:p>
        </w:tc>
        <w:tc>
          <w:tcPr>
            <w:tcW w:w="1676" w:type="pct"/>
            <w:vAlign w:val="center"/>
          </w:tcPr>
          <w:p w14:paraId="107B53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手动喷雾器</w:t>
            </w:r>
          </w:p>
        </w:tc>
        <w:tc>
          <w:tcPr>
            <w:tcW w:w="1250" w:type="pct"/>
            <w:vAlign w:val="center"/>
          </w:tcPr>
          <w:p w14:paraId="7CBE1C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lang w:val="en-US" w:eastAsia="zh-CN"/>
              </w:rPr>
              <w:t>台</w:t>
            </w:r>
          </w:p>
        </w:tc>
        <w:tc>
          <w:tcPr>
            <w:tcW w:w="1250" w:type="pct"/>
            <w:vAlign w:val="center"/>
          </w:tcPr>
          <w:p w14:paraId="6DD3FE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10</w:t>
            </w:r>
          </w:p>
        </w:tc>
      </w:tr>
    </w:tbl>
    <w:p w14:paraId="15065F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ins w:id="3" w:author="招标代理" w:date="2026-05-12T11:16:14Z">
        <w:r>
          <w:rPr>
            <w:rFonts w:hint="eastAsia" w:ascii="宋体" w:hAnsi="宋体" w:eastAsia="宋体" w:cs="宋体"/>
            <w:color w:val="auto"/>
            <w:highlight w:val="none"/>
            <w:lang w:val="en-US" w:eastAsia="zh-CN"/>
          </w:rPr>
          <w:t>★</w:t>
        </w:r>
      </w:ins>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highlight w:val="none"/>
          <w:lang w:val="en-US" w:eastAsia="zh-CN"/>
        </w:rPr>
        <w:t>拟投入设备应包括但不限于以上设备类型和数量要求。</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需提供拟</w:t>
      </w:r>
      <w:r>
        <w:rPr>
          <w:rFonts w:hint="eastAsia" w:ascii="宋体" w:hAnsi="宋体" w:eastAsia="宋体" w:cs="宋体"/>
          <w:color w:val="auto"/>
          <w:sz w:val="21"/>
          <w:szCs w:val="21"/>
          <w:highlight w:val="none"/>
        </w:rPr>
        <w:t>投入本项目的机械设备清单(注明名称、规格、数量)，所采用的设备必须满足国家有关技术操作规程的要求</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投标人在投标文件中提供以上资料证明或就上述内容提供承诺函，格式自拟。</w:t>
      </w:r>
      <w:r>
        <w:rPr>
          <w:rFonts w:hint="eastAsia" w:ascii="宋体" w:hAnsi="宋体" w:eastAsia="宋体" w:cs="宋体"/>
          <w:color w:val="auto"/>
          <w:sz w:val="21"/>
          <w:szCs w:val="21"/>
          <w:highlight w:val="none"/>
          <w:lang w:eastAsia="zh-CN"/>
        </w:rPr>
        <w:t>）</w:t>
      </w:r>
    </w:p>
    <w:p w14:paraId="2EA9C94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拟</w:t>
      </w:r>
      <w:r>
        <w:rPr>
          <w:rFonts w:hint="eastAsia" w:ascii="宋体" w:hAnsi="宋体" w:eastAsia="宋体" w:cs="宋体"/>
          <w:color w:val="auto"/>
          <w:sz w:val="21"/>
          <w:szCs w:val="21"/>
          <w:highlight w:val="none"/>
        </w:rPr>
        <w:t>投入的机械设备在合同签订后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0天内要经采购人验收认定</w:t>
      </w:r>
      <w:r>
        <w:rPr>
          <w:rFonts w:hint="eastAsia" w:ascii="宋体" w:hAnsi="宋体" w:eastAsia="宋体" w:cs="宋体"/>
          <w:color w:val="auto"/>
          <w:sz w:val="21"/>
          <w:szCs w:val="21"/>
          <w:highlight w:val="none"/>
          <w:lang w:val="en-US" w:eastAsia="zh-CN"/>
        </w:rPr>
        <w:t>，如数量不符，则作违约处理，采购人有权取消供应商的中标资格。</w:t>
      </w:r>
    </w:p>
    <w:p w14:paraId="394D3E8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（3）项目所使用设备、车辆须做好维护保养，保持外观整洁。</w:t>
      </w:r>
    </w:p>
    <w:p w14:paraId="5BE1A93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、药物</w:t>
      </w:r>
      <w:r>
        <w:rPr>
          <w:rFonts w:hint="eastAsia" w:ascii="宋体" w:hAnsi="宋体" w:eastAsia="宋体" w:cs="宋体"/>
          <w:b/>
          <w:bCs/>
          <w:color w:val="auto"/>
          <w:sz w:val="21"/>
          <w:szCs w:val="21"/>
          <w:highlight w:val="none"/>
          <w:lang w:val="en-US" w:eastAsia="zh-CN"/>
        </w:rPr>
        <w:t>配置</w:t>
      </w:r>
      <w:r>
        <w:rPr>
          <w:rFonts w:hint="eastAsia" w:ascii="宋体" w:hAnsi="宋体" w:eastAsia="宋体" w:cs="宋体"/>
          <w:b/>
          <w:bCs/>
          <w:color w:val="auto"/>
          <w:sz w:val="21"/>
          <w:szCs w:val="21"/>
          <w:highlight w:val="none"/>
        </w:rPr>
        <w:t>要求</w:t>
      </w:r>
    </w:p>
    <w:p w14:paraId="70FBBE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标准：中标人必须注重科学合理用药，不能使用假药、国家禁用的药物。使用的药物必须符合《病媒生物控制药物器械安全使用准则》，确保病媒生物控制达到“安全、高效、环保”的要求，用于本服务项目的消杀药物投入不能少于消杀面积的正常用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原则上拟投入</w:t>
      </w:r>
      <w:r>
        <w:rPr>
          <w:rFonts w:hint="eastAsia" w:ascii="宋体" w:hAnsi="宋体" w:eastAsia="宋体" w:cs="宋体"/>
          <w:color w:val="auto"/>
          <w:sz w:val="21"/>
          <w:szCs w:val="21"/>
          <w:highlight w:val="none"/>
        </w:rPr>
        <w:t>用于本服务项目的消杀药物购置金额不低于中标金额的20%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7863CB6">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为保证用药质量，使用药物应或高于</w:t>
      </w:r>
      <w:r>
        <w:rPr>
          <w:rFonts w:hint="eastAsia" w:ascii="宋体" w:hAnsi="宋体" w:eastAsia="宋体" w:cs="宋体"/>
          <w:color w:val="auto"/>
          <w:sz w:val="21"/>
          <w:szCs w:val="21"/>
          <w:highlight w:val="none"/>
          <w:lang w:val="en-US" w:eastAsia="zh-CN"/>
        </w:rPr>
        <w:t>以下</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194"/>
        <w:gridCol w:w="3281"/>
        <w:gridCol w:w="2125"/>
      </w:tblGrid>
      <w:tr w14:paraId="7D17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17352944">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序号</w:t>
            </w:r>
          </w:p>
        </w:tc>
        <w:tc>
          <w:tcPr>
            <w:tcW w:w="1288" w:type="pct"/>
            <w:vAlign w:val="center"/>
          </w:tcPr>
          <w:p w14:paraId="096A87F9">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药品名称</w:t>
            </w:r>
          </w:p>
        </w:tc>
        <w:tc>
          <w:tcPr>
            <w:tcW w:w="1926" w:type="pct"/>
            <w:vAlign w:val="center"/>
          </w:tcPr>
          <w:p w14:paraId="19B92E97">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有效成份（规格型号）</w:t>
            </w:r>
          </w:p>
        </w:tc>
        <w:tc>
          <w:tcPr>
            <w:tcW w:w="1247" w:type="pct"/>
            <w:vAlign w:val="center"/>
          </w:tcPr>
          <w:p w14:paraId="29B6A96A">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年投最量 ( kg/L)</w:t>
            </w:r>
          </w:p>
        </w:tc>
      </w:tr>
      <w:tr w14:paraId="06F7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1580B59C">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1</w:t>
            </w:r>
          </w:p>
        </w:tc>
        <w:tc>
          <w:tcPr>
            <w:tcW w:w="1288" w:type="pct"/>
            <w:vAlign w:val="center"/>
          </w:tcPr>
          <w:p w14:paraId="130DAF8D">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灭鼠毒饵站</w:t>
            </w:r>
          </w:p>
        </w:tc>
        <w:tc>
          <w:tcPr>
            <w:tcW w:w="1926" w:type="pct"/>
            <w:vAlign w:val="center"/>
          </w:tcPr>
          <w:p w14:paraId="3FA8CB66">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陶瓷毒饵站（长度≥30cm）</w:t>
            </w:r>
          </w:p>
        </w:tc>
        <w:tc>
          <w:tcPr>
            <w:tcW w:w="1247" w:type="pct"/>
            <w:vAlign w:val="center"/>
          </w:tcPr>
          <w:p w14:paraId="28E8E553">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450</w:t>
            </w:r>
          </w:p>
        </w:tc>
      </w:tr>
      <w:tr w14:paraId="606C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6E92EFD9">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2</w:t>
            </w:r>
          </w:p>
        </w:tc>
        <w:tc>
          <w:tcPr>
            <w:tcW w:w="1288" w:type="pct"/>
            <w:vMerge w:val="restart"/>
            <w:vAlign w:val="center"/>
          </w:tcPr>
          <w:p w14:paraId="31F9EA48">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鼠饵</w:t>
            </w:r>
          </w:p>
        </w:tc>
        <w:tc>
          <w:tcPr>
            <w:tcW w:w="1926" w:type="pct"/>
            <w:vAlign w:val="center"/>
          </w:tcPr>
          <w:p w14:paraId="29ED450F">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0.005%氟鼠灵蜡块毒饵</w:t>
            </w:r>
          </w:p>
        </w:tc>
        <w:tc>
          <w:tcPr>
            <w:tcW w:w="1247" w:type="pct"/>
            <w:vAlign w:val="center"/>
          </w:tcPr>
          <w:p w14:paraId="0ED60D5A">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120</w:t>
            </w:r>
          </w:p>
        </w:tc>
      </w:tr>
      <w:tr w14:paraId="4D3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68696CC6">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3</w:t>
            </w:r>
          </w:p>
        </w:tc>
        <w:tc>
          <w:tcPr>
            <w:tcW w:w="1288" w:type="pct"/>
            <w:vMerge w:val="continue"/>
            <w:vAlign w:val="center"/>
          </w:tcPr>
          <w:p w14:paraId="6BB7CFC8">
            <w:pPr>
              <w:pStyle w:val="30"/>
              <w:jc w:val="center"/>
              <w:rPr>
                <w:rFonts w:hint="eastAsia" w:ascii="宋体" w:hAnsi="宋体" w:eastAsia="宋体" w:cs="宋体"/>
                <w:color w:val="auto"/>
                <w:sz w:val="19"/>
                <w:szCs w:val="20"/>
                <w:highlight w:val="none"/>
              </w:rPr>
            </w:pPr>
          </w:p>
        </w:tc>
        <w:tc>
          <w:tcPr>
            <w:tcW w:w="1926" w:type="pct"/>
            <w:vAlign w:val="center"/>
          </w:tcPr>
          <w:p w14:paraId="65BAC3FF">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0.005%溴鼠灵/0.005%溴敌隆毒饵</w:t>
            </w:r>
          </w:p>
        </w:tc>
        <w:tc>
          <w:tcPr>
            <w:tcW w:w="1247" w:type="pct"/>
            <w:vAlign w:val="center"/>
          </w:tcPr>
          <w:p w14:paraId="55C078B5">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1800</w:t>
            </w:r>
          </w:p>
        </w:tc>
      </w:tr>
      <w:tr w14:paraId="1F67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3FC47915">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4</w:t>
            </w:r>
          </w:p>
        </w:tc>
        <w:tc>
          <w:tcPr>
            <w:tcW w:w="1288" w:type="pct"/>
            <w:vAlign w:val="center"/>
          </w:tcPr>
          <w:p w14:paraId="013563B2">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灭蚊幼蝇幼药物</w:t>
            </w:r>
          </w:p>
        </w:tc>
        <w:tc>
          <w:tcPr>
            <w:tcW w:w="1926" w:type="pct"/>
            <w:vAlign w:val="center"/>
          </w:tcPr>
          <w:p w14:paraId="7DBC78FE">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5%倍硫磷杀虫颗粒</w:t>
            </w:r>
          </w:p>
        </w:tc>
        <w:tc>
          <w:tcPr>
            <w:tcW w:w="1247" w:type="pct"/>
            <w:vAlign w:val="center"/>
          </w:tcPr>
          <w:p w14:paraId="4DFE99FE">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480</w:t>
            </w:r>
          </w:p>
        </w:tc>
      </w:tr>
      <w:tr w14:paraId="2BF4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71A6EBBC">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5</w:t>
            </w:r>
          </w:p>
        </w:tc>
        <w:tc>
          <w:tcPr>
            <w:tcW w:w="1288" w:type="pct"/>
            <w:vMerge w:val="restart"/>
            <w:vAlign w:val="center"/>
          </w:tcPr>
          <w:p w14:paraId="3CBDB7BE">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灭蚊蝇药物</w:t>
            </w:r>
          </w:p>
        </w:tc>
        <w:tc>
          <w:tcPr>
            <w:tcW w:w="1926" w:type="pct"/>
            <w:vAlign w:val="center"/>
          </w:tcPr>
          <w:p w14:paraId="7C463BE6">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10%高效氯氟氰菊微囊悬浮剂</w:t>
            </w:r>
          </w:p>
        </w:tc>
        <w:tc>
          <w:tcPr>
            <w:tcW w:w="1247" w:type="pct"/>
            <w:vAlign w:val="center"/>
          </w:tcPr>
          <w:p w14:paraId="7415CFC6">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720</w:t>
            </w:r>
          </w:p>
        </w:tc>
      </w:tr>
      <w:tr w14:paraId="32C7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6ECA0BAD">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6</w:t>
            </w:r>
          </w:p>
        </w:tc>
        <w:tc>
          <w:tcPr>
            <w:tcW w:w="1288" w:type="pct"/>
            <w:vMerge w:val="continue"/>
            <w:vAlign w:val="center"/>
          </w:tcPr>
          <w:p w14:paraId="458FCD8E">
            <w:pPr>
              <w:pStyle w:val="30"/>
              <w:jc w:val="center"/>
              <w:rPr>
                <w:rFonts w:hint="eastAsia" w:ascii="宋体" w:hAnsi="宋体" w:eastAsia="宋体" w:cs="宋体"/>
                <w:color w:val="auto"/>
                <w:sz w:val="19"/>
                <w:szCs w:val="20"/>
                <w:highlight w:val="none"/>
              </w:rPr>
            </w:pPr>
          </w:p>
        </w:tc>
        <w:tc>
          <w:tcPr>
            <w:tcW w:w="1926" w:type="pct"/>
            <w:vAlign w:val="center"/>
          </w:tcPr>
          <w:p w14:paraId="6AEA404B">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5%残杀威.氯丙炔乳油</w:t>
            </w:r>
          </w:p>
        </w:tc>
        <w:tc>
          <w:tcPr>
            <w:tcW w:w="1247" w:type="pct"/>
            <w:vAlign w:val="center"/>
          </w:tcPr>
          <w:p w14:paraId="73C8715C">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560</w:t>
            </w:r>
          </w:p>
        </w:tc>
      </w:tr>
      <w:tr w14:paraId="077F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32255259">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7</w:t>
            </w:r>
          </w:p>
        </w:tc>
        <w:tc>
          <w:tcPr>
            <w:tcW w:w="1288" w:type="pct"/>
            <w:vMerge w:val="continue"/>
            <w:vAlign w:val="center"/>
          </w:tcPr>
          <w:p w14:paraId="0CD151A1">
            <w:pPr>
              <w:pStyle w:val="30"/>
              <w:jc w:val="center"/>
              <w:rPr>
                <w:rFonts w:hint="eastAsia" w:ascii="宋体" w:hAnsi="宋体" w:eastAsia="宋体" w:cs="宋体"/>
                <w:color w:val="auto"/>
                <w:sz w:val="19"/>
                <w:szCs w:val="20"/>
                <w:highlight w:val="none"/>
              </w:rPr>
            </w:pPr>
          </w:p>
        </w:tc>
        <w:tc>
          <w:tcPr>
            <w:tcW w:w="1926" w:type="pct"/>
            <w:vAlign w:val="center"/>
          </w:tcPr>
          <w:p w14:paraId="282FC373">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5%氯菊.四氟醚水乳剂</w:t>
            </w:r>
          </w:p>
        </w:tc>
        <w:tc>
          <w:tcPr>
            <w:tcW w:w="1247" w:type="pct"/>
            <w:vAlign w:val="center"/>
          </w:tcPr>
          <w:p w14:paraId="4565E781">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535.13</w:t>
            </w:r>
          </w:p>
        </w:tc>
      </w:tr>
      <w:tr w14:paraId="2DD5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Align w:val="center"/>
          </w:tcPr>
          <w:p w14:paraId="447EB52A">
            <w:pPr>
              <w:pStyle w:val="30"/>
              <w:jc w:val="center"/>
              <w:rPr>
                <w:rFonts w:hint="eastAsia" w:ascii="宋体" w:hAnsi="宋体" w:eastAsia="宋体" w:cs="宋体"/>
                <w:color w:val="auto"/>
                <w:sz w:val="19"/>
                <w:szCs w:val="20"/>
                <w:highlight w:val="none"/>
              </w:rPr>
            </w:pPr>
            <w:r>
              <w:rPr>
                <w:rFonts w:hint="eastAsia" w:ascii="宋体" w:hAnsi="宋体" w:eastAsia="宋体" w:cs="宋体"/>
                <w:color w:val="auto"/>
                <w:sz w:val="19"/>
                <w:szCs w:val="20"/>
                <w:highlight w:val="none"/>
              </w:rPr>
              <w:t>8</w:t>
            </w:r>
          </w:p>
        </w:tc>
        <w:tc>
          <w:tcPr>
            <w:tcW w:w="1288" w:type="pct"/>
            <w:vAlign w:val="center"/>
          </w:tcPr>
          <w:p w14:paraId="3BB5120E">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灭蚊、蟑药物</w:t>
            </w:r>
          </w:p>
        </w:tc>
        <w:tc>
          <w:tcPr>
            <w:tcW w:w="1926" w:type="pct"/>
            <w:vAlign w:val="center"/>
          </w:tcPr>
          <w:p w14:paraId="099371D4">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2.5%残杀威/氯氰菊酯热烟雾剂</w:t>
            </w:r>
          </w:p>
        </w:tc>
        <w:tc>
          <w:tcPr>
            <w:tcW w:w="1247" w:type="pct"/>
            <w:vAlign w:val="center"/>
          </w:tcPr>
          <w:p w14:paraId="0D117B5F">
            <w:pPr>
              <w:pStyle w:val="30"/>
              <w:keepNext w:val="0"/>
              <w:keepLines w:val="0"/>
              <w:widowControl/>
              <w:suppressLineNumbers w:val="0"/>
              <w:jc w:val="center"/>
              <w:textAlignment w:val="center"/>
              <w:rPr>
                <w:rFonts w:hint="eastAsia" w:ascii="宋体" w:hAnsi="宋体" w:eastAsia="宋体" w:cs="宋体"/>
                <w:color w:val="auto"/>
                <w:sz w:val="19"/>
                <w:szCs w:val="20"/>
                <w:highlight w:val="none"/>
              </w:rPr>
            </w:pPr>
            <w:r>
              <w:rPr>
                <w:rFonts w:hint="eastAsia" w:ascii="宋体" w:hAnsi="宋体" w:eastAsia="宋体" w:cs="宋体"/>
                <w:i w:val="0"/>
                <w:iCs w:val="0"/>
                <w:color w:val="auto"/>
                <w:kern w:val="0"/>
                <w:sz w:val="19"/>
                <w:szCs w:val="20"/>
                <w:highlight w:val="none"/>
                <w:u w:val="none"/>
                <w:lang w:val="en-US" w:eastAsia="zh-CN" w:bidi="ar"/>
              </w:rPr>
              <w:t>2,400</w:t>
            </w:r>
          </w:p>
        </w:tc>
      </w:tr>
    </w:tbl>
    <w:p w14:paraId="07EF7E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ins w:id="4" w:author="招标代理" w:date="2026-05-12T11:16:57Z">
        <w:r>
          <w:rPr>
            <w:rFonts w:hint="eastAsia" w:ascii="宋体" w:hAnsi="宋体" w:eastAsia="宋体" w:cs="宋体"/>
            <w:color w:val="auto"/>
            <w:highlight w:val="none"/>
            <w:lang w:val="en-US" w:eastAsia="zh-CN"/>
          </w:rPr>
          <w:t>★</w:t>
        </w:r>
      </w:ins>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highlight w:val="none"/>
          <w:lang w:val="en-US" w:eastAsia="zh-CN"/>
        </w:rPr>
        <w:t>中标</w:t>
      </w:r>
      <w:r>
        <w:rPr>
          <w:rFonts w:hint="eastAsia" w:ascii="宋体" w:hAnsi="宋体" w:eastAsia="宋体" w:cs="宋体"/>
          <w:b w:val="0"/>
          <w:bCs w:val="0"/>
          <w:color w:val="auto"/>
          <w:sz w:val="21"/>
          <w:highlight w:val="none"/>
        </w:rPr>
        <w:t>人拟投用药物必须满足本项目需求的用药要求，如使用的药物效果不达标，采购人有权要求</w:t>
      </w:r>
      <w:r>
        <w:rPr>
          <w:rFonts w:hint="eastAsia" w:ascii="宋体" w:hAnsi="宋体" w:eastAsia="宋体" w:cs="宋体"/>
          <w:b w:val="0"/>
          <w:bCs w:val="0"/>
          <w:color w:val="auto"/>
          <w:sz w:val="21"/>
          <w:highlight w:val="none"/>
          <w:lang w:val="en-US" w:eastAsia="zh-CN"/>
        </w:rPr>
        <w:t>中标</w:t>
      </w:r>
      <w:r>
        <w:rPr>
          <w:rFonts w:hint="eastAsia" w:ascii="宋体" w:hAnsi="宋体" w:eastAsia="宋体" w:cs="宋体"/>
          <w:b w:val="0"/>
          <w:bCs w:val="0"/>
          <w:color w:val="auto"/>
          <w:sz w:val="21"/>
          <w:highlight w:val="none"/>
        </w:rPr>
        <w:t>人更换药物，由此产生额外增加的费用由</w:t>
      </w:r>
      <w:r>
        <w:rPr>
          <w:rFonts w:hint="eastAsia" w:ascii="宋体" w:hAnsi="宋体" w:eastAsia="宋体" w:cs="宋体"/>
          <w:b w:val="0"/>
          <w:bCs w:val="0"/>
          <w:color w:val="auto"/>
          <w:sz w:val="21"/>
          <w:highlight w:val="none"/>
          <w:lang w:val="en-US" w:eastAsia="zh-CN"/>
        </w:rPr>
        <w:t>中标</w:t>
      </w:r>
      <w:r>
        <w:rPr>
          <w:rFonts w:hint="eastAsia" w:ascii="宋体" w:hAnsi="宋体" w:eastAsia="宋体" w:cs="宋体"/>
          <w:b w:val="0"/>
          <w:bCs w:val="0"/>
          <w:color w:val="auto"/>
          <w:sz w:val="21"/>
          <w:highlight w:val="none"/>
        </w:rPr>
        <w:t>人自行承担，采购人不承担该费用。</w:t>
      </w:r>
      <w:r>
        <w:rPr>
          <w:rFonts w:hint="eastAsia" w:ascii="宋体" w:hAnsi="宋体" w:eastAsia="宋体" w:cs="宋体"/>
          <w:b/>
          <w:bCs/>
          <w:color w:val="auto"/>
          <w:sz w:val="21"/>
          <w:highlight w:val="none"/>
        </w:rPr>
        <w:t>（投标时须提供承诺函及拟投用药物清单，格式自拟）</w:t>
      </w:r>
    </w:p>
    <w:p w14:paraId="22B03FDB">
      <w:pPr>
        <w:spacing w:line="360" w:lineRule="auto"/>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r>
        <w:rPr>
          <w:rFonts w:hint="eastAsia" w:ascii="宋体" w:hAnsi="宋体" w:eastAsia="宋体" w:cs="宋体"/>
          <w:b w:val="0"/>
          <w:bCs w:val="0"/>
          <w:color w:val="auto"/>
          <w:sz w:val="21"/>
          <w:highlight w:val="none"/>
          <w:lang w:val="en-US" w:eastAsia="zh-CN"/>
        </w:rPr>
        <w:t>中标</w:t>
      </w:r>
      <w:r>
        <w:rPr>
          <w:rFonts w:hint="eastAsia" w:ascii="宋体" w:hAnsi="宋体" w:eastAsia="宋体" w:cs="宋体"/>
          <w:b w:val="0"/>
          <w:bCs w:val="0"/>
          <w:color w:val="auto"/>
          <w:sz w:val="21"/>
          <w:highlight w:val="none"/>
        </w:rPr>
        <w:t>人</w:t>
      </w:r>
      <w:r>
        <w:rPr>
          <w:rFonts w:hint="eastAsia" w:ascii="宋体" w:hAnsi="宋体" w:eastAsia="宋体" w:cs="宋体"/>
          <w:color w:val="auto"/>
          <w:highlight w:val="none"/>
          <w:lang w:val="en-US" w:eastAsia="zh-CN"/>
        </w:rPr>
        <w:t>需提供拟投入药物清单，且不得低于以上标准要求。服务期间所使用药品均具备以下资料，采购人随时核验</w:t>
      </w:r>
      <w:r>
        <w:rPr>
          <w:rFonts w:hint="eastAsia" w:ascii="宋体" w:hAnsi="宋体" w:eastAsia="宋体" w:cs="宋体"/>
          <w:color w:val="auto"/>
          <w:sz w:val="21"/>
          <w:szCs w:val="24"/>
          <w:highlight w:val="none"/>
        </w:rPr>
        <w:t>：</w:t>
      </w:r>
    </w:p>
    <w:p w14:paraId="19C7A6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1）农业部颁发的“三证”（农药生产许可证或者农药生产批准文件、农药标准证和农药登记证）。</w:t>
      </w:r>
    </w:p>
    <w:p w14:paraId="184FDC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2）药物进出登记台账。</w:t>
      </w:r>
    </w:p>
    <w:p w14:paraId="1884F9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）资料的备案须在有效期内，续展期顺延三个月。</w:t>
      </w:r>
    </w:p>
    <w:p w14:paraId="1A1EB9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）药品标签。</w:t>
      </w:r>
    </w:p>
    <w:p w14:paraId="1E7C85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）药品第三方检测报告(或产品质量检验合格证明)。</w:t>
      </w:r>
    </w:p>
    <w:p w14:paraId="74633E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ins w:id="5" w:author="黄汉超" w:date="2026-05-07T08:59:18Z"/>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）药品化学品安全技术说明书或农药产品安全数据单（MSDS）。</w:t>
      </w:r>
    </w:p>
    <w:p w14:paraId="6513A19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eastAsia="宋体" w:cs="宋体"/>
          <w:color w:val="auto"/>
          <w:sz w:val="21"/>
          <w:highlight w:val="none"/>
        </w:rPr>
        <w:t>如药物使用不当</w:t>
      </w:r>
      <w:r>
        <w:rPr>
          <w:rFonts w:hint="eastAsia" w:ascii="宋体" w:hAnsi="宋体" w:eastAsia="宋体" w:cs="宋体"/>
          <w:color w:val="auto"/>
          <w:sz w:val="21"/>
          <w:highlight w:val="none"/>
          <w:lang w:val="en-US" w:eastAsia="zh-CN"/>
        </w:rPr>
        <w:t>或未做好警示工作而</w:t>
      </w:r>
      <w:r>
        <w:rPr>
          <w:rFonts w:hint="eastAsia" w:ascii="宋体" w:hAnsi="宋体" w:eastAsia="宋体" w:cs="宋体"/>
          <w:color w:val="auto"/>
          <w:sz w:val="21"/>
          <w:highlight w:val="none"/>
        </w:rPr>
        <w:t>引起人畜中毒或其他责任事故的，</w:t>
      </w:r>
      <w:r>
        <w:rPr>
          <w:rFonts w:hint="eastAsia" w:ascii="宋体" w:hAnsi="宋体" w:eastAsia="宋体" w:cs="宋体"/>
          <w:color w:val="auto"/>
          <w:sz w:val="21"/>
          <w:highlight w:val="none"/>
          <w:lang w:val="en-US" w:eastAsia="zh-CN"/>
        </w:rPr>
        <w:t>中标人</w:t>
      </w:r>
      <w:r>
        <w:rPr>
          <w:rFonts w:hint="eastAsia" w:ascii="宋体" w:hAnsi="宋体" w:eastAsia="宋体" w:cs="宋体"/>
          <w:color w:val="auto"/>
          <w:sz w:val="21"/>
          <w:highlight w:val="none"/>
        </w:rPr>
        <w:t>应承担相应的法律责任及后果，如若因此造成采购人损失或被第三方追偿的，采购人有权就自身所承担损失向供应商追偿。</w:t>
      </w:r>
    </w:p>
    <w:p w14:paraId="37A7F9AA">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rPr>
        <w:t>、应急服务</w:t>
      </w:r>
    </w:p>
    <w:p w14:paraId="7202C9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中标人必须组建应急队伍，制定</w:t>
      </w:r>
      <w:r>
        <w:rPr>
          <w:rFonts w:hint="eastAsia" w:ascii="宋体" w:hAnsi="宋体" w:eastAsia="宋体" w:cs="宋体"/>
          <w:color w:val="auto"/>
          <w:highlight w:val="none"/>
        </w:rPr>
        <w:t>制订工作应急预案</w:t>
      </w:r>
      <w:r>
        <w:rPr>
          <w:rFonts w:hint="eastAsia" w:ascii="宋体" w:hAnsi="宋体" w:eastAsia="宋体" w:cs="宋体"/>
          <w:color w:val="auto"/>
          <w:sz w:val="21"/>
          <w:szCs w:val="21"/>
          <w:highlight w:val="none"/>
        </w:rPr>
        <w:t>。在发生公共突发事件</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highlight w:val="none"/>
        </w:rPr>
        <w:t>必须无条件响应采购人要求，参与应急事务处理工作或上级特派任务等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需要</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highlight w:val="none"/>
        </w:rPr>
        <w:t>进行突击加班时，</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highlight w:val="none"/>
        </w:rPr>
        <w:t>必须积极且无条件地组织安排加班，并按时按质按量完成任务。</w:t>
      </w:r>
    </w:p>
    <w:p w14:paraId="027ACC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highlight w:val="none"/>
        </w:rPr>
        <w:t>必须随时接受并配合采购人、属地社区、专项检查小组、</w:t>
      </w:r>
      <w:r>
        <w:rPr>
          <w:rFonts w:hint="eastAsia" w:ascii="宋体" w:hAnsi="宋体" w:eastAsia="宋体" w:cs="宋体"/>
          <w:color w:val="auto"/>
          <w:sz w:val="22"/>
          <w:highlight w:val="none"/>
        </w:rPr>
        <w:t>各</w:t>
      </w:r>
      <w:r>
        <w:rPr>
          <w:rFonts w:hint="eastAsia" w:ascii="宋体" w:hAnsi="宋体" w:eastAsia="宋体" w:cs="宋体"/>
          <w:color w:val="auto"/>
          <w:highlight w:val="none"/>
        </w:rPr>
        <w:t>级疾病防控部门以及其它相关部门的监督、检查和指导，必须无条件服从采购人组织的一些突击性任务及迎检活动，按时、按标准、按要求完成所分配的工作。</w:t>
      </w:r>
      <w:r>
        <w:rPr>
          <w:rFonts w:hint="eastAsia" w:ascii="宋体" w:hAnsi="宋体" w:eastAsia="宋体" w:cs="宋体"/>
          <w:color w:val="auto"/>
          <w:sz w:val="21"/>
          <w:szCs w:val="21"/>
          <w:highlight w:val="none"/>
          <w:lang w:eastAsia="zh-CN"/>
        </w:rPr>
        <w:t>如有重大迎检工作时，需按工作要求布置，随时加大消杀频率，保证顺利完成相关迎检工作。</w:t>
      </w:r>
    </w:p>
    <w:p w14:paraId="36A92D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）如遇突发事情应急事件等，中标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需在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小时内派人员到达现场协助采购人安排处理相关事件。管理人员电话必须保持24小时畅通。</w:t>
      </w:r>
    </w:p>
    <w:p w14:paraId="30F92FD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九</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考核评分办法</w:t>
      </w:r>
    </w:p>
    <w:p w14:paraId="450DCE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采购人每个月按照《黄江镇“四害”消杀考核评分表》(</w:t>
      </w:r>
      <w:r>
        <w:rPr>
          <w:rFonts w:hint="eastAsia" w:ascii="宋体" w:hAnsi="宋体" w:eastAsia="宋体" w:cs="宋体"/>
          <w:color w:val="auto"/>
          <w:sz w:val="21"/>
          <w:szCs w:val="21"/>
          <w:highlight w:val="none"/>
          <w:lang w:val="en-US" w:eastAsia="zh-CN"/>
        </w:rPr>
        <w:t>详见</w:t>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）对中标人“四害”消杀服务质量进行考核，根据考核结果支付服务费用。</w:t>
      </w:r>
    </w:p>
    <w:p w14:paraId="06D82B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46690DF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1：</w:t>
      </w:r>
    </w:p>
    <w:p w14:paraId="09E684F5">
      <w:pPr>
        <w:pStyle w:val="30"/>
        <w:keepNext w:val="0"/>
        <w:keepLines w:val="0"/>
        <w:pageBreakBefore w:val="0"/>
        <w:widowControl/>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《黄江镇“四害”消杀考核评分表》</w:t>
      </w:r>
    </w:p>
    <w:p w14:paraId="5E97A619">
      <w:pPr>
        <w:rPr>
          <w:ins w:id="6" w:author="招标代理" w:date="2026-05-12T11:18:44Z"/>
          <w:rFonts w:hint="eastAsia" w:ascii="宋体" w:hAnsi="宋体" w:eastAsia="宋体" w:cs="宋体"/>
          <w:color w:val="auto"/>
          <w:sz w:val="21"/>
          <w:szCs w:val="21"/>
          <w:highlight w:val="none"/>
        </w:rPr>
      </w:pPr>
    </w:p>
    <w:p w14:paraId="639C06FE">
      <w:pPr>
        <w:rPr>
          <w:rFonts w:hint="eastAsia" w:ascii="宋体" w:hAnsi="宋体" w:eastAsia="宋体" w:cs="宋体"/>
          <w:color w:val="auto"/>
          <w:sz w:val="21"/>
          <w:szCs w:val="21"/>
          <w:highlight w:val="none"/>
        </w:rPr>
      </w:pPr>
      <w:r>
        <w:rPr>
          <w:rFonts w:hint="eastAsia" w:ascii="宋体" w:hAnsi="宋体" w:eastAsia="宋体" w:cs="宋体"/>
          <w:color w:val="auto"/>
          <w:sz w:val="20"/>
          <w:highlight w:val="none"/>
          <w:lang w:val="en-US" w:eastAsia="zh-CN"/>
        </w:rPr>
        <w:t xml:space="preserve">                                                        </w:t>
      </w:r>
      <w:r>
        <w:rPr>
          <w:rFonts w:hint="eastAsia" w:ascii="宋体" w:hAnsi="宋体" w:eastAsia="宋体" w:cs="宋体"/>
          <w:color w:val="auto"/>
          <w:sz w:val="20"/>
          <w:highlight w:val="none"/>
        </w:rPr>
        <w:t>考</w:t>
      </w:r>
      <w:r>
        <w:rPr>
          <w:rFonts w:hint="eastAsia" w:ascii="宋体" w:hAnsi="宋体" w:eastAsia="宋体" w:cs="宋体"/>
          <w:color w:val="auto"/>
          <w:sz w:val="20"/>
          <w:highlight w:val="none"/>
          <w:lang w:val="en-US" w:eastAsia="zh-CN"/>
        </w:rPr>
        <w:t>核</w:t>
      </w:r>
      <w:r>
        <w:rPr>
          <w:rFonts w:hint="eastAsia" w:ascii="宋体" w:hAnsi="宋体" w:eastAsia="宋体" w:cs="宋体"/>
          <w:color w:val="auto"/>
          <w:sz w:val="20"/>
          <w:highlight w:val="none"/>
        </w:rPr>
        <w:t>时间：20   年  月  日</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226"/>
        <w:gridCol w:w="2940"/>
        <w:gridCol w:w="2230"/>
        <w:gridCol w:w="702"/>
      </w:tblGrid>
      <w:tr w14:paraId="23EB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pct"/>
            <w:gridSpan w:val="2"/>
            <w:noWrap w:val="0"/>
            <w:vAlign w:val="center"/>
          </w:tcPr>
          <w:p w14:paraId="6E85E92D">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考核项目</w:t>
            </w:r>
          </w:p>
        </w:tc>
        <w:tc>
          <w:tcPr>
            <w:tcW w:w="1727" w:type="pct"/>
            <w:noWrap w:val="0"/>
            <w:vAlign w:val="center"/>
          </w:tcPr>
          <w:p w14:paraId="2BE0CA2C">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评分标准</w:t>
            </w:r>
          </w:p>
        </w:tc>
        <w:tc>
          <w:tcPr>
            <w:tcW w:w="1310" w:type="pct"/>
            <w:noWrap w:val="0"/>
            <w:vAlign w:val="center"/>
          </w:tcPr>
          <w:p w14:paraId="3A4DCB32">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扣分说明</w:t>
            </w:r>
          </w:p>
        </w:tc>
        <w:tc>
          <w:tcPr>
            <w:tcW w:w="410" w:type="pct"/>
            <w:noWrap w:val="0"/>
            <w:vAlign w:val="center"/>
          </w:tcPr>
          <w:p w14:paraId="2D272C63">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扣分</w:t>
            </w:r>
          </w:p>
        </w:tc>
      </w:tr>
      <w:tr w14:paraId="47FF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restart"/>
            <w:noWrap w:val="0"/>
            <w:vAlign w:val="center"/>
          </w:tcPr>
          <w:p w14:paraId="1112197D">
            <w:pPr>
              <w:jc w:val="both"/>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0"/>
                <w:szCs w:val="20"/>
                <w:highlight w:val="none"/>
                <w:vertAlign w:val="baseline"/>
                <w:lang w:val="en-US" w:eastAsia="zh-CN"/>
              </w:rPr>
              <w:t>一、</w:t>
            </w:r>
            <w:r>
              <w:rPr>
                <w:rFonts w:hint="eastAsia" w:ascii="宋体" w:hAnsi="宋体" w:eastAsia="宋体" w:cs="宋体"/>
                <w:color w:val="auto"/>
                <w:sz w:val="20"/>
                <w:szCs w:val="20"/>
                <w:highlight w:val="none"/>
                <w:vertAlign w:val="baseline"/>
              </w:rPr>
              <w:t>组织管理与人员配置</w:t>
            </w:r>
          </w:p>
        </w:tc>
        <w:tc>
          <w:tcPr>
            <w:tcW w:w="720" w:type="pct"/>
            <w:noWrap w:val="0"/>
            <w:vAlign w:val="center"/>
          </w:tcPr>
          <w:p w14:paraId="506D9F4D">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人员配置完整性</w:t>
            </w:r>
          </w:p>
        </w:tc>
        <w:tc>
          <w:tcPr>
            <w:tcW w:w="1727" w:type="pct"/>
            <w:noWrap w:val="0"/>
            <w:vAlign w:val="center"/>
          </w:tcPr>
          <w:p w14:paraId="0A45249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投入本项目人员数量、职业资格等符合合同要求，且在职在岗</w:t>
            </w:r>
          </w:p>
        </w:tc>
        <w:tc>
          <w:tcPr>
            <w:tcW w:w="1310" w:type="pct"/>
            <w:noWrap w:val="0"/>
            <w:vAlign w:val="center"/>
          </w:tcPr>
          <w:p w14:paraId="0CCCF2DC">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人员数量不足、无证或人证不符扣5分</w:t>
            </w:r>
          </w:p>
        </w:tc>
        <w:tc>
          <w:tcPr>
            <w:tcW w:w="410" w:type="pct"/>
            <w:noWrap w:val="0"/>
            <w:vAlign w:val="center"/>
          </w:tcPr>
          <w:p w14:paraId="6EB406E4">
            <w:pPr>
              <w:jc w:val="both"/>
              <w:rPr>
                <w:rFonts w:hint="eastAsia" w:ascii="宋体" w:hAnsi="宋体" w:eastAsia="宋体" w:cs="宋体"/>
                <w:color w:val="auto"/>
                <w:sz w:val="20"/>
                <w:szCs w:val="20"/>
                <w:highlight w:val="none"/>
                <w:vertAlign w:val="baseline"/>
              </w:rPr>
            </w:pPr>
          </w:p>
        </w:tc>
      </w:tr>
      <w:tr w14:paraId="73DE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337C61FC">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720409B2">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人员稳定性与备案</w:t>
            </w:r>
          </w:p>
        </w:tc>
        <w:tc>
          <w:tcPr>
            <w:tcW w:w="1727" w:type="pct"/>
            <w:noWrap w:val="0"/>
            <w:vAlign w:val="center"/>
          </w:tcPr>
          <w:p w14:paraId="4A6EF547">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人员变动未按合同要求提前报备或未经同意更换负责人</w:t>
            </w:r>
          </w:p>
        </w:tc>
        <w:tc>
          <w:tcPr>
            <w:tcW w:w="1310" w:type="pct"/>
            <w:noWrap w:val="0"/>
            <w:vAlign w:val="center"/>
          </w:tcPr>
          <w:p w14:paraId="6C79F5D9">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每发现1例违规扣1分</w:t>
            </w:r>
          </w:p>
        </w:tc>
        <w:tc>
          <w:tcPr>
            <w:tcW w:w="410" w:type="pct"/>
            <w:noWrap w:val="0"/>
            <w:vAlign w:val="center"/>
          </w:tcPr>
          <w:p w14:paraId="5777F234">
            <w:pPr>
              <w:jc w:val="both"/>
              <w:rPr>
                <w:rFonts w:hint="eastAsia" w:ascii="宋体" w:hAnsi="宋体" w:eastAsia="宋体" w:cs="宋体"/>
                <w:color w:val="auto"/>
                <w:sz w:val="20"/>
                <w:szCs w:val="20"/>
                <w:highlight w:val="none"/>
                <w:vertAlign w:val="baseline"/>
              </w:rPr>
            </w:pPr>
          </w:p>
        </w:tc>
      </w:tr>
      <w:tr w14:paraId="4D92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431AC9EC">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26FE760D">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人员培训与着装</w:t>
            </w:r>
          </w:p>
        </w:tc>
        <w:tc>
          <w:tcPr>
            <w:tcW w:w="1727" w:type="pct"/>
            <w:noWrap w:val="0"/>
            <w:vAlign w:val="center"/>
          </w:tcPr>
          <w:p w14:paraId="1082C1C2">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作业人员未统一着装、无工作证、未规范培训上岗</w:t>
            </w:r>
          </w:p>
        </w:tc>
        <w:tc>
          <w:tcPr>
            <w:tcW w:w="1310" w:type="pct"/>
            <w:noWrap w:val="0"/>
            <w:vAlign w:val="center"/>
          </w:tcPr>
          <w:p w14:paraId="5FFAEFD9">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每发现1例不符合扣1分</w:t>
            </w:r>
          </w:p>
        </w:tc>
        <w:tc>
          <w:tcPr>
            <w:tcW w:w="410" w:type="pct"/>
            <w:noWrap w:val="0"/>
            <w:vAlign w:val="center"/>
          </w:tcPr>
          <w:p w14:paraId="62A79AE7">
            <w:pPr>
              <w:jc w:val="both"/>
              <w:rPr>
                <w:rFonts w:hint="eastAsia" w:ascii="宋体" w:hAnsi="宋体" w:eastAsia="宋体" w:cs="宋体"/>
                <w:color w:val="auto"/>
                <w:sz w:val="20"/>
                <w:szCs w:val="20"/>
                <w:highlight w:val="none"/>
                <w:vertAlign w:val="baseline"/>
              </w:rPr>
            </w:pPr>
          </w:p>
        </w:tc>
      </w:tr>
      <w:tr w14:paraId="26EB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08BB9AE7">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50DD99FE">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rPr>
            </w:pPr>
            <w:r>
              <w:rPr>
                <w:rFonts w:hint="eastAsia" w:ascii="宋体" w:hAnsi="宋体" w:eastAsia="宋体" w:cs="宋体"/>
                <w:i w:val="0"/>
                <w:iCs w:val="0"/>
                <w:color w:val="auto"/>
                <w:kern w:val="0"/>
                <w:sz w:val="20"/>
                <w:szCs w:val="20"/>
                <w:highlight w:val="none"/>
                <w:u w:val="none"/>
                <w:lang w:val="en-US" w:eastAsia="zh-CN" w:bidi="ar"/>
              </w:rPr>
              <w:t>人员信息台账</w:t>
            </w:r>
          </w:p>
        </w:tc>
        <w:tc>
          <w:tcPr>
            <w:tcW w:w="1727" w:type="pct"/>
            <w:noWrap w:val="0"/>
            <w:vAlign w:val="center"/>
          </w:tcPr>
          <w:p w14:paraId="20DBBB3C">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rPr>
            </w:pPr>
            <w:r>
              <w:rPr>
                <w:rFonts w:hint="eastAsia" w:ascii="宋体" w:hAnsi="宋体" w:eastAsia="宋体" w:cs="宋体"/>
                <w:i w:val="0"/>
                <w:iCs w:val="0"/>
                <w:color w:val="auto"/>
                <w:kern w:val="0"/>
                <w:sz w:val="20"/>
                <w:szCs w:val="20"/>
                <w:highlight w:val="none"/>
                <w:u w:val="none"/>
                <w:lang w:val="en-US" w:eastAsia="zh-CN" w:bidi="ar"/>
              </w:rPr>
              <w:t>未按规定提供工作人员信息台账的</w:t>
            </w:r>
          </w:p>
        </w:tc>
        <w:tc>
          <w:tcPr>
            <w:tcW w:w="1310" w:type="pct"/>
            <w:noWrap w:val="0"/>
            <w:vAlign w:val="center"/>
          </w:tcPr>
          <w:p w14:paraId="34F294ED">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rPr>
            </w:pPr>
            <w:r>
              <w:rPr>
                <w:rFonts w:hint="eastAsia" w:ascii="宋体" w:hAnsi="宋体" w:eastAsia="宋体" w:cs="宋体"/>
                <w:i w:val="0"/>
                <w:iCs w:val="0"/>
                <w:color w:val="auto"/>
                <w:kern w:val="0"/>
                <w:sz w:val="20"/>
                <w:szCs w:val="20"/>
                <w:highlight w:val="none"/>
                <w:u w:val="none"/>
                <w:lang w:val="en-US" w:eastAsia="zh-CN" w:bidi="ar"/>
              </w:rPr>
              <w:t>未及时提供扣4分</w:t>
            </w:r>
          </w:p>
        </w:tc>
        <w:tc>
          <w:tcPr>
            <w:tcW w:w="410" w:type="pct"/>
            <w:noWrap w:val="0"/>
            <w:vAlign w:val="center"/>
          </w:tcPr>
          <w:p w14:paraId="2F3733C6">
            <w:pPr>
              <w:jc w:val="both"/>
              <w:rPr>
                <w:rFonts w:hint="eastAsia" w:ascii="宋体" w:hAnsi="宋体" w:eastAsia="宋体" w:cs="宋体"/>
                <w:color w:val="auto"/>
                <w:sz w:val="20"/>
                <w:szCs w:val="20"/>
                <w:highlight w:val="none"/>
                <w:vertAlign w:val="baseline"/>
              </w:rPr>
            </w:pPr>
          </w:p>
        </w:tc>
      </w:tr>
      <w:tr w14:paraId="6C86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restart"/>
            <w:noWrap w:val="0"/>
            <w:vAlign w:val="center"/>
          </w:tcPr>
          <w:p w14:paraId="304EFDE5">
            <w:pPr>
              <w:jc w:val="both"/>
              <w:rPr>
                <w:rFonts w:hint="eastAsia" w:ascii="宋体" w:hAnsi="宋体" w:eastAsia="宋体" w:cs="宋体"/>
                <w:color w:val="auto"/>
                <w:sz w:val="20"/>
                <w:szCs w:val="20"/>
                <w:highlight w:val="none"/>
                <w:vertAlign w:val="baseline"/>
                <w:lang w:eastAsia="zh-CN"/>
              </w:rPr>
            </w:pPr>
            <w:r>
              <w:rPr>
                <w:rFonts w:hint="eastAsia" w:ascii="宋体" w:hAnsi="宋体" w:eastAsia="宋体" w:cs="宋体"/>
                <w:color w:val="auto"/>
                <w:sz w:val="20"/>
                <w:szCs w:val="20"/>
                <w:highlight w:val="none"/>
                <w:vertAlign w:val="baseline"/>
                <w:lang w:val="en-US" w:eastAsia="zh-CN"/>
              </w:rPr>
              <w:t>二、</w:t>
            </w:r>
            <w:r>
              <w:rPr>
                <w:rFonts w:hint="eastAsia" w:ascii="宋体" w:hAnsi="宋体" w:eastAsia="宋体" w:cs="宋体"/>
                <w:color w:val="auto"/>
                <w:sz w:val="20"/>
                <w:szCs w:val="20"/>
                <w:highlight w:val="none"/>
                <w:vertAlign w:val="baseline"/>
              </w:rPr>
              <w:t>设备投入与管理</w:t>
            </w:r>
          </w:p>
        </w:tc>
        <w:tc>
          <w:tcPr>
            <w:tcW w:w="720" w:type="pct"/>
            <w:noWrap w:val="0"/>
            <w:vAlign w:val="center"/>
          </w:tcPr>
          <w:p w14:paraId="5674492E">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设备配置完整性</w:t>
            </w:r>
          </w:p>
        </w:tc>
        <w:tc>
          <w:tcPr>
            <w:tcW w:w="1727" w:type="pct"/>
            <w:noWrap w:val="0"/>
            <w:vAlign w:val="center"/>
          </w:tcPr>
          <w:p w14:paraId="376945E2">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设备数量达合同要求</w:t>
            </w:r>
          </w:p>
        </w:tc>
        <w:tc>
          <w:tcPr>
            <w:tcW w:w="1310" w:type="pct"/>
            <w:noWrap w:val="0"/>
            <w:vAlign w:val="center"/>
          </w:tcPr>
          <w:p w14:paraId="37AFC59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每缺1台扣2分</w:t>
            </w:r>
          </w:p>
        </w:tc>
        <w:tc>
          <w:tcPr>
            <w:tcW w:w="410" w:type="pct"/>
            <w:noWrap w:val="0"/>
            <w:vAlign w:val="center"/>
          </w:tcPr>
          <w:p w14:paraId="1E206C8D">
            <w:pPr>
              <w:jc w:val="both"/>
              <w:rPr>
                <w:rFonts w:hint="eastAsia" w:ascii="宋体" w:hAnsi="宋体" w:eastAsia="宋体" w:cs="宋体"/>
                <w:color w:val="auto"/>
                <w:sz w:val="20"/>
                <w:szCs w:val="20"/>
                <w:highlight w:val="none"/>
                <w:vertAlign w:val="baseline"/>
              </w:rPr>
            </w:pPr>
          </w:p>
        </w:tc>
      </w:tr>
      <w:tr w14:paraId="3790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114F5D82">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0670B8F5">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设备验收与维护</w:t>
            </w:r>
          </w:p>
        </w:tc>
        <w:tc>
          <w:tcPr>
            <w:tcW w:w="1727" w:type="pct"/>
            <w:noWrap w:val="0"/>
            <w:vAlign w:val="center"/>
          </w:tcPr>
          <w:p w14:paraId="384F94E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设备未按时验收或未定期保养、外观脏污</w:t>
            </w:r>
          </w:p>
        </w:tc>
        <w:tc>
          <w:tcPr>
            <w:tcW w:w="1310" w:type="pct"/>
            <w:noWrap w:val="0"/>
            <w:vAlign w:val="center"/>
          </w:tcPr>
          <w:p w14:paraId="4956842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每项不符合扣2分</w:t>
            </w:r>
          </w:p>
        </w:tc>
        <w:tc>
          <w:tcPr>
            <w:tcW w:w="410" w:type="pct"/>
            <w:noWrap w:val="0"/>
            <w:vAlign w:val="center"/>
          </w:tcPr>
          <w:p w14:paraId="7F5D665D">
            <w:pPr>
              <w:jc w:val="both"/>
              <w:rPr>
                <w:rFonts w:hint="eastAsia" w:ascii="宋体" w:hAnsi="宋体" w:eastAsia="宋体" w:cs="宋体"/>
                <w:color w:val="auto"/>
                <w:sz w:val="20"/>
                <w:szCs w:val="20"/>
                <w:highlight w:val="none"/>
                <w:vertAlign w:val="baseline"/>
              </w:rPr>
            </w:pPr>
          </w:p>
        </w:tc>
      </w:tr>
      <w:tr w14:paraId="4DCF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713A00BC">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7422FF3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设备清单规范性</w:t>
            </w:r>
          </w:p>
        </w:tc>
        <w:tc>
          <w:tcPr>
            <w:tcW w:w="1727" w:type="pct"/>
            <w:noWrap w:val="0"/>
            <w:vAlign w:val="center"/>
          </w:tcPr>
          <w:p w14:paraId="392DC035">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未提供设备清单或清单信息不全（名称、规格、数量）</w:t>
            </w:r>
          </w:p>
        </w:tc>
        <w:tc>
          <w:tcPr>
            <w:tcW w:w="1310" w:type="pct"/>
            <w:noWrap w:val="0"/>
            <w:vAlign w:val="center"/>
          </w:tcPr>
          <w:p w14:paraId="5804693F">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每缺1项扣1分</w:t>
            </w:r>
          </w:p>
        </w:tc>
        <w:tc>
          <w:tcPr>
            <w:tcW w:w="410" w:type="pct"/>
            <w:noWrap w:val="0"/>
            <w:vAlign w:val="center"/>
          </w:tcPr>
          <w:p w14:paraId="351FD511">
            <w:pPr>
              <w:jc w:val="both"/>
              <w:rPr>
                <w:rFonts w:hint="eastAsia" w:ascii="宋体" w:hAnsi="宋体" w:eastAsia="宋体" w:cs="宋体"/>
                <w:color w:val="auto"/>
                <w:sz w:val="20"/>
                <w:szCs w:val="20"/>
                <w:highlight w:val="none"/>
                <w:vertAlign w:val="baseline"/>
              </w:rPr>
            </w:pPr>
          </w:p>
        </w:tc>
      </w:tr>
      <w:tr w14:paraId="201D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43C26E4E">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57E5339C">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设备使用记录</w:t>
            </w:r>
          </w:p>
        </w:tc>
        <w:tc>
          <w:tcPr>
            <w:tcW w:w="1727" w:type="pct"/>
            <w:noWrap w:val="0"/>
            <w:vAlign w:val="center"/>
          </w:tcPr>
          <w:p w14:paraId="7E71E3FB">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设备使用无记录或记录不完整</w:t>
            </w:r>
          </w:p>
        </w:tc>
        <w:tc>
          <w:tcPr>
            <w:tcW w:w="1310" w:type="pct"/>
            <w:noWrap w:val="0"/>
            <w:vAlign w:val="center"/>
          </w:tcPr>
          <w:p w14:paraId="3979170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每缺1次记录扣1分</w:t>
            </w:r>
          </w:p>
        </w:tc>
        <w:tc>
          <w:tcPr>
            <w:tcW w:w="410" w:type="pct"/>
            <w:noWrap w:val="0"/>
            <w:vAlign w:val="center"/>
          </w:tcPr>
          <w:p w14:paraId="6A13D256">
            <w:pPr>
              <w:jc w:val="both"/>
              <w:rPr>
                <w:rFonts w:hint="eastAsia" w:ascii="宋体" w:hAnsi="宋体" w:eastAsia="宋体" w:cs="宋体"/>
                <w:color w:val="auto"/>
                <w:sz w:val="20"/>
                <w:szCs w:val="20"/>
                <w:highlight w:val="none"/>
                <w:vertAlign w:val="baseline"/>
              </w:rPr>
            </w:pPr>
          </w:p>
        </w:tc>
      </w:tr>
      <w:tr w14:paraId="544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restart"/>
            <w:noWrap w:val="0"/>
            <w:vAlign w:val="center"/>
          </w:tcPr>
          <w:p w14:paraId="4E0A128E">
            <w:pPr>
              <w:jc w:val="both"/>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0"/>
                <w:szCs w:val="20"/>
                <w:highlight w:val="none"/>
                <w:vertAlign w:val="baseline"/>
              </w:rPr>
              <w:t>三、药物投入与管理</w:t>
            </w:r>
          </w:p>
        </w:tc>
        <w:tc>
          <w:tcPr>
            <w:tcW w:w="720" w:type="pct"/>
            <w:noWrap w:val="0"/>
            <w:vAlign w:val="center"/>
          </w:tcPr>
          <w:p w14:paraId="0BC72CE3">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药物合规性</w:t>
            </w:r>
          </w:p>
        </w:tc>
        <w:tc>
          <w:tcPr>
            <w:tcW w:w="1727" w:type="pct"/>
            <w:noWrap w:val="0"/>
            <w:vAlign w:val="center"/>
          </w:tcPr>
          <w:p w14:paraId="7BC48B3A">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使用禁药、假药或药物未达国家标准</w:t>
            </w:r>
          </w:p>
        </w:tc>
        <w:tc>
          <w:tcPr>
            <w:tcW w:w="1310" w:type="pct"/>
            <w:noWrap w:val="0"/>
            <w:vAlign w:val="center"/>
          </w:tcPr>
          <w:p w14:paraId="77E4A9D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每发现1例扣3分</w:t>
            </w:r>
          </w:p>
        </w:tc>
        <w:tc>
          <w:tcPr>
            <w:tcW w:w="410" w:type="pct"/>
            <w:noWrap w:val="0"/>
            <w:vAlign w:val="center"/>
          </w:tcPr>
          <w:p w14:paraId="23A16EA1">
            <w:pPr>
              <w:jc w:val="both"/>
              <w:rPr>
                <w:rFonts w:hint="eastAsia" w:ascii="宋体" w:hAnsi="宋体" w:eastAsia="宋体" w:cs="宋体"/>
                <w:color w:val="auto"/>
                <w:sz w:val="20"/>
                <w:szCs w:val="20"/>
                <w:highlight w:val="none"/>
                <w:vertAlign w:val="baseline"/>
              </w:rPr>
            </w:pPr>
          </w:p>
        </w:tc>
      </w:tr>
      <w:tr w14:paraId="0DB6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7231DA47">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2D96DB07">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药物“三证”齐全性</w:t>
            </w:r>
          </w:p>
        </w:tc>
        <w:tc>
          <w:tcPr>
            <w:tcW w:w="1727" w:type="pct"/>
            <w:noWrap w:val="0"/>
            <w:vAlign w:val="center"/>
          </w:tcPr>
          <w:p w14:paraId="49B0DFAD">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农药登记证、生产许可证、企业标准缺失或过期</w:t>
            </w:r>
          </w:p>
        </w:tc>
        <w:tc>
          <w:tcPr>
            <w:tcW w:w="1310" w:type="pct"/>
            <w:noWrap w:val="0"/>
            <w:vAlign w:val="center"/>
          </w:tcPr>
          <w:p w14:paraId="049B78A2">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每种每缺1证扣2分</w:t>
            </w:r>
          </w:p>
        </w:tc>
        <w:tc>
          <w:tcPr>
            <w:tcW w:w="410" w:type="pct"/>
            <w:noWrap w:val="0"/>
            <w:vAlign w:val="center"/>
          </w:tcPr>
          <w:p w14:paraId="2D70CA57">
            <w:pPr>
              <w:jc w:val="both"/>
              <w:rPr>
                <w:rFonts w:hint="eastAsia" w:ascii="宋体" w:hAnsi="宋体" w:eastAsia="宋体" w:cs="宋体"/>
                <w:color w:val="auto"/>
                <w:sz w:val="20"/>
                <w:szCs w:val="20"/>
                <w:highlight w:val="none"/>
                <w:vertAlign w:val="baseline"/>
              </w:rPr>
            </w:pPr>
          </w:p>
        </w:tc>
      </w:tr>
      <w:tr w14:paraId="6C4B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1E95D814">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45E8101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药物台账管理</w:t>
            </w:r>
          </w:p>
        </w:tc>
        <w:tc>
          <w:tcPr>
            <w:tcW w:w="1727" w:type="pct"/>
            <w:noWrap w:val="0"/>
            <w:vAlign w:val="center"/>
          </w:tcPr>
          <w:p w14:paraId="59841963">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药物进出台账不完整或未按要求登记</w:t>
            </w:r>
          </w:p>
        </w:tc>
        <w:tc>
          <w:tcPr>
            <w:tcW w:w="1310" w:type="pct"/>
            <w:noWrap w:val="0"/>
            <w:vAlign w:val="center"/>
          </w:tcPr>
          <w:p w14:paraId="4F79DE1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每缺1项记录扣1分</w:t>
            </w:r>
          </w:p>
        </w:tc>
        <w:tc>
          <w:tcPr>
            <w:tcW w:w="410" w:type="pct"/>
            <w:noWrap w:val="0"/>
            <w:vAlign w:val="center"/>
          </w:tcPr>
          <w:p w14:paraId="44247695">
            <w:pPr>
              <w:jc w:val="both"/>
              <w:rPr>
                <w:rFonts w:hint="eastAsia" w:ascii="宋体" w:hAnsi="宋体" w:eastAsia="宋体" w:cs="宋体"/>
                <w:color w:val="auto"/>
                <w:sz w:val="20"/>
                <w:szCs w:val="20"/>
                <w:highlight w:val="none"/>
                <w:vertAlign w:val="baseline"/>
              </w:rPr>
            </w:pPr>
          </w:p>
        </w:tc>
      </w:tr>
      <w:tr w14:paraId="6BA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40764286">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2FD4010C">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用药量达标情况</w:t>
            </w:r>
          </w:p>
        </w:tc>
        <w:tc>
          <w:tcPr>
            <w:tcW w:w="1727" w:type="pct"/>
            <w:noWrap w:val="0"/>
            <w:vAlign w:val="center"/>
          </w:tcPr>
          <w:p w14:paraId="79E4FF77">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消杀面积的正常用药</w:t>
            </w:r>
            <w:r>
              <w:rPr>
                <w:rFonts w:hint="eastAsia" w:ascii="宋体" w:hAnsi="宋体" w:eastAsia="宋体" w:cs="宋体"/>
                <w:color w:val="auto"/>
                <w:sz w:val="20"/>
                <w:szCs w:val="20"/>
                <w:highlight w:val="none"/>
                <w:lang w:val="en-US" w:eastAsia="zh-CN"/>
              </w:rPr>
              <w:t>不合理、</w:t>
            </w:r>
            <w:r>
              <w:rPr>
                <w:rFonts w:hint="eastAsia" w:ascii="宋体" w:hAnsi="宋体" w:eastAsia="宋体" w:cs="宋体"/>
                <w:i w:val="0"/>
                <w:iCs w:val="0"/>
                <w:color w:val="auto"/>
                <w:kern w:val="0"/>
                <w:sz w:val="20"/>
                <w:szCs w:val="20"/>
                <w:highlight w:val="none"/>
                <w:u w:val="none"/>
                <w:lang w:val="en-US" w:eastAsia="zh-CN" w:bidi="ar"/>
              </w:rPr>
              <w:t>毒鼠屋未按要求投放</w:t>
            </w:r>
          </w:p>
        </w:tc>
        <w:tc>
          <w:tcPr>
            <w:tcW w:w="1310" w:type="pct"/>
            <w:noWrap w:val="0"/>
            <w:vAlign w:val="center"/>
          </w:tcPr>
          <w:p w14:paraId="439C476A">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每发现一处扣3分</w:t>
            </w:r>
          </w:p>
        </w:tc>
        <w:tc>
          <w:tcPr>
            <w:tcW w:w="410" w:type="pct"/>
            <w:noWrap w:val="0"/>
            <w:vAlign w:val="center"/>
          </w:tcPr>
          <w:p w14:paraId="4190226D">
            <w:pPr>
              <w:jc w:val="both"/>
              <w:rPr>
                <w:rFonts w:hint="eastAsia" w:ascii="宋体" w:hAnsi="宋体" w:eastAsia="宋体" w:cs="宋体"/>
                <w:color w:val="auto"/>
                <w:sz w:val="20"/>
                <w:szCs w:val="20"/>
                <w:highlight w:val="none"/>
                <w:vertAlign w:val="baseline"/>
              </w:rPr>
            </w:pPr>
          </w:p>
        </w:tc>
      </w:tr>
      <w:tr w14:paraId="04BB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20EE3B68">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548774BF">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安全警示与投放规范</w:t>
            </w:r>
          </w:p>
        </w:tc>
        <w:tc>
          <w:tcPr>
            <w:tcW w:w="1727" w:type="pct"/>
            <w:noWrap w:val="0"/>
            <w:vAlign w:val="center"/>
          </w:tcPr>
          <w:p w14:paraId="621F1BFA">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毒鼠屋未设标识或药物投放不规范</w:t>
            </w:r>
          </w:p>
        </w:tc>
        <w:tc>
          <w:tcPr>
            <w:tcW w:w="1310" w:type="pct"/>
            <w:noWrap w:val="0"/>
            <w:vAlign w:val="center"/>
          </w:tcPr>
          <w:p w14:paraId="0441DCD9">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每缺1处扣1分</w:t>
            </w:r>
          </w:p>
        </w:tc>
        <w:tc>
          <w:tcPr>
            <w:tcW w:w="410" w:type="pct"/>
            <w:noWrap w:val="0"/>
            <w:vAlign w:val="center"/>
          </w:tcPr>
          <w:p w14:paraId="252F109F">
            <w:pPr>
              <w:jc w:val="both"/>
              <w:rPr>
                <w:rFonts w:hint="eastAsia" w:ascii="宋体" w:hAnsi="宋体" w:eastAsia="宋体" w:cs="宋体"/>
                <w:color w:val="auto"/>
                <w:sz w:val="20"/>
                <w:szCs w:val="20"/>
                <w:highlight w:val="none"/>
                <w:vertAlign w:val="baseline"/>
              </w:rPr>
            </w:pPr>
          </w:p>
        </w:tc>
      </w:tr>
      <w:tr w14:paraId="545C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restart"/>
            <w:noWrap w:val="0"/>
            <w:vAlign w:val="center"/>
          </w:tcPr>
          <w:p w14:paraId="739734D3">
            <w:pPr>
              <w:jc w:val="both"/>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0"/>
                <w:szCs w:val="20"/>
                <w:highlight w:val="none"/>
                <w:vertAlign w:val="baseline"/>
              </w:rPr>
              <w:t>四、作业规范与记录</w:t>
            </w:r>
          </w:p>
        </w:tc>
        <w:tc>
          <w:tcPr>
            <w:tcW w:w="720" w:type="pct"/>
            <w:noWrap w:val="0"/>
            <w:vAlign w:val="center"/>
          </w:tcPr>
          <w:p w14:paraId="3642C18F">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消杀频次落实</w:t>
            </w:r>
          </w:p>
        </w:tc>
        <w:tc>
          <w:tcPr>
            <w:tcW w:w="1727" w:type="pct"/>
            <w:noWrap w:val="0"/>
            <w:vAlign w:val="center"/>
          </w:tcPr>
          <w:p w14:paraId="1B49E62F">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未按合同要求频次完成一般区域或重点区域消杀</w:t>
            </w:r>
          </w:p>
        </w:tc>
        <w:tc>
          <w:tcPr>
            <w:tcW w:w="1310" w:type="pct"/>
            <w:noWrap w:val="0"/>
            <w:vAlign w:val="center"/>
          </w:tcPr>
          <w:p w14:paraId="4EFEA75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每缺少1次扣</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tc>
        <w:tc>
          <w:tcPr>
            <w:tcW w:w="410" w:type="pct"/>
            <w:noWrap w:val="0"/>
            <w:vAlign w:val="center"/>
          </w:tcPr>
          <w:p w14:paraId="456B2698">
            <w:pPr>
              <w:jc w:val="both"/>
              <w:rPr>
                <w:rFonts w:hint="eastAsia" w:ascii="宋体" w:hAnsi="宋体" w:eastAsia="宋体" w:cs="宋体"/>
                <w:color w:val="auto"/>
                <w:sz w:val="20"/>
                <w:szCs w:val="20"/>
                <w:highlight w:val="none"/>
                <w:vertAlign w:val="baseline"/>
              </w:rPr>
            </w:pPr>
          </w:p>
        </w:tc>
      </w:tr>
      <w:tr w14:paraId="1116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6F2692D8">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20EEA69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工作记录完整性</w:t>
            </w:r>
          </w:p>
        </w:tc>
        <w:tc>
          <w:tcPr>
            <w:tcW w:w="1727" w:type="pct"/>
            <w:noWrap w:val="0"/>
            <w:vAlign w:val="center"/>
          </w:tcPr>
          <w:p w14:paraId="3CAA4C20">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缺少消杀时间、地点、药物、剂量记录或无水印照片</w:t>
            </w:r>
          </w:p>
        </w:tc>
        <w:tc>
          <w:tcPr>
            <w:tcW w:w="1310" w:type="pct"/>
            <w:noWrap w:val="0"/>
            <w:vAlign w:val="center"/>
          </w:tcPr>
          <w:p w14:paraId="4DE5B710">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每缺1项扣</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分，无照片</w:t>
            </w:r>
            <w:r>
              <w:rPr>
                <w:rFonts w:hint="eastAsia" w:ascii="宋体" w:hAnsi="宋体" w:eastAsia="宋体" w:cs="宋体"/>
                <w:i w:val="0"/>
                <w:iCs w:val="0"/>
                <w:color w:val="auto"/>
                <w:kern w:val="0"/>
                <w:sz w:val="20"/>
                <w:szCs w:val="20"/>
                <w:highlight w:val="none"/>
                <w:u w:val="none"/>
                <w:lang w:val="en-US" w:eastAsia="zh-CN" w:bidi="ar"/>
              </w:rPr>
              <w:t>每项</w:t>
            </w:r>
            <w:r>
              <w:rPr>
                <w:rFonts w:hint="eastAsia" w:ascii="宋体" w:hAnsi="宋体" w:eastAsia="宋体" w:cs="宋体"/>
                <w:i w:val="0"/>
                <w:iCs w:val="0"/>
                <w:color w:val="auto"/>
                <w:kern w:val="0"/>
                <w:sz w:val="20"/>
                <w:szCs w:val="20"/>
                <w:highlight w:val="none"/>
                <w:u w:val="none"/>
                <w:lang w:val="en-US" w:eastAsia="zh-CN" w:bidi="ar"/>
              </w:rPr>
              <w:t>扣</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p>
        </w:tc>
        <w:tc>
          <w:tcPr>
            <w:tcW w:w="410" w:type="pct"/>
            <w:noWrap w:val="0"/>
            <w:vAlign w:val="center"/>
          </w:tcPr>
          <w:p w14:paraId="7878AF33">
            <w:pPr>
              <w:jc w:val="both"/>
              <w:rPr>
                <w:rFonts w:hint="eastAsia" w:ascii="宋体" w:hAnsi="宋体" w:eastAsia="宋体" w:cs="宋体"/>
                <w:color w:val="auto"/>
                <w:sz w:val="20"/>
                <w:szCs w:val="20"/>
                <w:highlight w:val="none"/>
                <w:vertAlign w:val="baseline"/>
              </w:rPr>
            </w:pPr>
          </w:p>
        </w:tc>
      </w:tr>
      <w:tr w14:paraId="4F74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40F7C1DD">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545F4183">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台账提交时效</w:t>
            </w:r>
          </w:p>
        </w:tc>
        <w:tc>
          <w:tcPr>
            <w:tcW w:w="1727" w:type="pct"/>
            <w:noWrap w:val="0"/>
            <w:vAlign w:val="center"/>
          </w:tcPr>
          <w:p w14:paraId="1993D57E">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未在每月规定时间前提交上月工作台账</w:t>
            </w:r>
          </w:p>
        </w:tc>
        <w:tc>
          <w:tcPr>
            <w:tcW w:w="1310" w:type="pct"/>
            <w:noWrap w:val="0"/>
            <w:vAlign w:val="center"/>
          </w:tcPr>
          <w:p w14:paraId="713C12C6">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延迟扣2分，未提交扣4分</w:t>
            </w:r>
          </w:p>
        </w:tc>
        <w:tc>
          <w:tcPr>
            <w:tcW w:w="410" w:type="pct"/>
            <w:noWrap w:val="0"/>
            <w:vAlign w:val="center"/>
          </w:tcPr>
          <w:p w14:paraId="2C9DB2BA">
            <w:pPr>
              <w:jc w:val="both"/>
              <w:rPr>
                <w:rFonts w:hint="eastAsia" w:ascii="宋体" w:hAnsi="宋体" w:eastAsia="宋体" w:cs="宋体"/>
                <w:color w:val="auto"/>
                <w:sz w:val="20"/>
                <w:szCs w:val="20"/>
                <w:highlight w:val="none"/>
                <w:vertAlign w:val="baseline"/>
              </w:rPr>
            </w:pPr>
          </w:p>
        </w:tc>
      </w:tr>
      <w:tr w14:paraId="5F27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7B7B7086">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0C64AE7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密度控制效果</w:t>
            </w:r>
          </w:p>
        </w:tc>
        <w:tc>
          <w:tcPr>
            <w:tcW w:w="1727" w:type="pct"/>
            <w:noWrap w:val="0"/>
            <w:vAlign w:val="center"/>
          </w:tcPr>
          <w:p w14:paraId="6C63F52D">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鼠、蚊、蝇、蟑螂密度超国家标准（依据现场抽查或第三方评估反馈）</w:t>
            </w:r>
          </w:p>
        </w:tc>
        <w:tc>
          <w:tcPr>
            <w:tcW w:w="1310" w:type="pct"/>
            <w:noWrap w:val="0"/>
            <w:vAlign w:val="center"/>
          </w:tcPr>
          <w:p w14:paraId="3AD63620">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每超1项扣2分</w:t>
            </w:r>
          </w:p>
        </w:tc>
        <w:tc>
          <w:tcPr>
            <w:tcW w:w="410" w:type="pct"/>
            <w:noWrap w:val="0"/>
            <w:vAlign w:val="center"/>
          </w:tcPr>
          <w:p w14:paraId="12C1B412">
            <w:pPr>
              <w:jc w:val="both"/>
              <w:rPr>
                <w:rFonts w:hint="eastAsia" w:ascii="宋体" w:hAnsi="宋体" w:eastAsia="宋体" w:cs="宋体"/>
                <w:color w:val="auto"/>
                <w:sz w:val="20"/>
                <w:szCs w:val="20"/>
                <w:highlight w:val="none"/>
                <w:vertAlign w:val="baseline"/>
              </w:rPr>
            </w:pPr>
          </w:p>
        </w:tc>
      </w:tr>
      <w:tr w14:paraId="29E4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1028B6AC">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0D3D247D">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动物尸体处理</w:t>
            </w:r>
          </w:p>
        </w:tc>
        <w:tc>
          <w:tcPr>
            <w:tcW w:w="1727" w:type="pct"/>
            <w:noWrap w:val="0"/>
            <w:vAlign w:val="center"/>
          </w:tcPr>
          <w:p w14:paraId="0276D758">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未及时清理死鼠或未做无害化处理</w:t>
            </w:r>
          </w:p>
        </w:tc>
        <w:tc>
          <w:tcPr>
            <w:tcW w:w="1310" w:type="pct"/>
            <w:noWrap w:val="0"/>
            <w:vAlign w:val="center"/>
          </w:tcPr>
          <w:p w14:paraId="1457197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每发现1例扣1分</w:t>
            </w:r>
          </w:p>
        </w:tc>
        <w:tc>
          <w:tcPr>
            <w:tcW w:w="410" w:type="pct"/>
            <w:noWrap w:val="0"/>
            <w:vAlign w:val="center"/>
          </w:tcPr>
          <w:p w14:paraId="34CEAE82">
            <w:pPr>
              <w:jc w:val="both"/>
              <w:rPr>
                <w:rFonts w:hint="eastAsia" w:ascii="宋体" w:hAnsi="宋体" w:eastAsia="宋体" w:cs="宋体"/>
                <w:color w:val="auto"/>
                <w:sz w:val="20"/>
                <w:szCs w:val="20"/>
                <w:highlight w:val="none"/>
                <w:vertAlign w:val="baseline"/>
              </w:rPr>
            </w:pPr>
          </w:p>
        </w:tc>
      </w:tr>
      <w:tr w14:paraId="21B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restart"/>
            <w:noWrap w:val="0"/>
            <w:vAlign w:val="center"/>
          </w:tcPr>
          <w:p w14:paraId="0FDE2600">
            <w:pPr>
              <w:jc w:val="both"/>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0"/>
                <w:szCs w:val="20"/>
                <w:highlight w:val="none"/>
                <w:vertAlign w:val="baseline"/>
              </w:rPr>
              <w:t>五、应急服务与响应</w:t>
            </w:r>
          </w:p>
        </w:tc>
        <w:tc>
          <w:tcPr>
            <w:tcW w:w="720" w:type="pct"/>
            <w:noWrap w:val="0"/>
            <w:vAlign w:val="center"/>
          </w:tcPr>
          <w:p w14:paraId="724DC0D0">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应急到岗时效</w:t>
            </w:r>
          </w:p>
        </w:tc>
        <w:tc>
          <w:tcPr>
            <w:tcW w:w="1727" w:type="pct"/>
            <w:noWrap w:val="0"/>
            <w:vAlign w:val="center"/>
          </w:tcPr>
          <w:p w14:paraId="10D2E8C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突发事件未在2小时内到达现场</w:t>
            </w:r>
          </w:p>
        </w:tc>
        <w:tc>
          <w:tcPr>
            <w:tcW w:w="1310" w:type="pct"/>
            <w:noWrap w:val="0"/>
            <w:vAlign w:val="center"/>
          </w:tcPr>
          <w:p w14:paraId="2C100276">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每延迟1次扣5分</w:t>
            </w:r>
          </w:p>
        </w:tc>
        <w:tc>
          <w:tcPr>
            <w:tcW w:w="410" w:type="pct"/>
            <w:noWrap w:val="0"/>
            <w:vAlign w:val="center"/>
          </w:tcPr>
          <w:p w14:paraId="11C334D9">
            <w:pPr>
              <w:jc w:val="both"/>
              <w:rPr>
                <w:rFonts w:hint="eastAsia" w:ascii="宋体" w:hAnsi="宋体" w:eastAsia="宋体" w:cs="宋体"/>
                <w:color w:val="auto"/>
                <w:sz w:val="20"/>
                <w:szCs w:val="20"/>
                <w:highlight w:val="none"/>
                <w:vertAlign w:val="baseline"/>
              </w:rPr>
            </w:pPr>
          </w:p>
        </w:tc>
      </w:tr>
      <w:tr w14:paraId="61C0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08BCE715">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143DFD07">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24小时值班制度</w:t>
            </w:r>
          </w:p>
        </w:tc>
        <w:tc>
          <w:tcPr>
            <w:tcW w:w="1727" w:type="pct"/>
            <w:noWrap w:val="0"/>
            <w:vAlign w:val="center"/>
          </w:tcPr>
          <w:p w14:paraId="61C3A22B">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值班电话无人接听或管理人员失联</w:t>
            </w:r>
          </w:p>
        </w:tc>
        <w:tc>
          <w:tcPr>
            <w:tcW w:w="1310" w:type="pct"/>
            <w:noWrap w:val="0"/>
            <w:vAlign w:val="center"/>
          </w:tcPr>
          <w:p w14:paraId="6C850109">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每发现1次扣2分</w:t>
            </w:r>
          </w:p>
        </w:tc>
        <w:tc>
          <w:tcPr>
            <w:tcW w:w="410" w:type="pct"/>
            <w:noWrap w:val="0"/>
            <w:vAlign w:val="center"/>
          </w:tcPr>
          <w:p w14:paraId="2D5B7D01">
            <w:pPr>
              <w:jc w:val="both"/>
              <w:rPr>
                <w:rFonts w:hint="eastAsia" w:ascii="宋体" w:hAnsi="宋体" w:eastAsia="宋体" w:cs="宋体"/>
                <w:color w:val="auto"/>
                <w:sz w:val="20"/>
                <w:szCs w:val="20"/>
                <w:highlight w:val="none"/>
                <w:vertAlign w:val="baseline"/>
              </w:rPr>
            </w:pPr>
          </w:p>
        </w:tc>
      </w:tr>
      <w:tr w14:paraId="5087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254ACAB9">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4D6F3AD8">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突击任务配合度</w:t>
            </w:r>
          </w:p>
        </w:tc>
        <w:tc>
          <w:tcPr>
            <w:tcW w:w="1727" w:type="pct"/>
            <w:noWrap w:val="0"/>
            <w:vAlign w:val="center"/>
          </w:tcPr>
          <w:p w14:paraId="6DBE8565">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迎检、疫情等临时任务推诿或执行不力</w:t>
            </w:r>
          </w:p>
        </w:tc>
        <w:tc>
          <w:tcPr>
            <w:tcW w:w="1310" w:type="pct"/>
            <w:noWrap w:val="0"/>
            <w:vAlign w:val="center"/>
          </w:tcPr>
          <w:p w14:paraId="19B9EA2D">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每项不符扣</w:t>
            </w:r>
            <w:r>
              <w:rPr>
                <w:rFonts w:hint="eastAsia" w:ascii="宋体" w:hAnsi="宋体" w:eastAsia="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p>
        </w:tc>
        <w:tc>
          <w:tcPr>
            <w:tcW w:w="410" w:type="pct"/>
            <w:noWrap w:val="0"/>
            <w:vAlign w:val="center"/>
          </w:tcPr>
          <w:p w14:paraId="28ABA8B3">
            <w:pPr>
              <w:jc w:val="both"/>
              <w:rPr>
                <w:rFonts w:hint="eastAsia" w:ascii="宋体" w:hAnsi="宋体" w:eastAsia="宋体" w:cs="宋体"/>
                <w:color w:val="auto"/>
                <w:sz w:val="20"/>
                <w:szCs w:val="20"/>
                <w:highlight w:val="none"/>
                <w:vertAlign w:val="baseline"/>
              </w:rPr>
            </w:pPr>
          </w:p>
        </w:tc>
      </w:tr>
      <w:tr w14:paraId="0A0C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20611E1C">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7EF4D682">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应急预案完备性</w:t>
            </w:r>
          </w:p>
        </w:tc>
        <w:tc>
          <w:tcPr>
            <w:tcW w:w="1727" w:type="pct"/>
            <w:noWrap w:val="0"/>
            <w:vAlign w:val="center"/>
          </w:tcPr>
          <w:p w14:paraId="66B725D6">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未制定应急预案或预案未存档</w:t>
            </w:r>
          </w:p>
        </w:tc>
        <w:tc>
          <w:tcPr>
            <w:tcW w:w="1310" w:type="pct"/>
            <w:noWrap w:val="0"/>
            <w:vAlign w:val="center"/>
          </w:tcPr>
          <w:p w14:paraId="43AB13A1">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每缺1项扣1分</w:t>
            </w:r>
          </w:p>
        </w:tc>
        <w:tc>
          <w:tcPr>
            <w:tcW w:w="410" w:type="pct"/>
            <w:noWrap w:val="0"/>
            <w:vAlign w:val="center"/>
          </w:tcPr>
          <w:p w14:paraId="07870FAF">
            <w:pPr>
              <w:jc w:val="both"/>
              <w:rPr>
                <w:rFonts w:hint="eastAsia" w:ascii="宋体" w:hAnsi="宋体" w:eastAsia="宋体" w:cs="宋体"/>
                <w:color w:val="auto"/>
                <w:sz w:val="20"/>
                <w:szCs w:val="20"/>
                <w:highlight w:val="none"/>
                <w:vertAlign w:val="baseline"/>
              </w:rPr>
            </w:pPr>
          </w:p>
        </w:tc>
      </w:tr>
      <w:tr w14:paraId="63C7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restart"/>
            <w:noWrap w:val="0"/>
            <w:vAlign w:val="center"/>
          </w:tcPr>
          <w:p w14:paraId="303FF101">
            <w:pPr>
              <w:jc w:val="both"/>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0"/>
                <w:szCs w:val="20"/>
                <w:highlight w:val="none"/>
                <w:vertAlign w:val="baseline"/>
              </w:rPr>
              <w:t>六、社会投诉与部门监督</w:t>
            </w:r>
          </w:p>
        </w:tc>
        <w:tc>
          <w:tcPr>
            <w:tcW w:w="720" w:type="pct"/>
            <w:noWrap w:val="0"/>
            <w:vAlign w:val="center"/>
          </w:tcPr>
          <w:p w14:paraId="6772E290">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劳资纠纷影响</w:t>
            </w:r>
          </w:p>
        </w:tc>
        <w:tc>
          <w:tcPr>
            <w:tcW w:w="1727" w:type="pct"/>
            <w:noWrap w:val="0"/>
            <w:vAlign w:val="center"/>
          </w:tcPr>
          <w:p w14:paraId="4BED3A11">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因劳资纠纷引发群体上访或恶劣影响</w:t>
            </w:r>
          </w:p>
        </w:tc>
        <w:tc>
          <w:tcPr>
            <w:tcW w:w="1310" w:type="pct"/>
            <w:noWrap w:val="0"/>
            <w:vAlign w:val="center"/>
          </w:tcPr>
          <w:p w14:paraId="16E82AA9">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每发生1例扣10分</w:t>
            </w:r>
          </w:p>
        </w:tc>
        <w:tc>
          <w:tcPr>
            <w:tcW w:w="410" w:type="pct"/>
            <w:noWrap w:val="0"/>
            <w:vAlign w:val="center"/>
          </w:tcPr>
          <w:p w14:paraId="5216CE0E">
            <w:pPr>
              <w:jc w:val="both"/>
              <w:rPr>
                <w:rFonts w:hint="eastAsia" w:ascii="宋体" w:hAnsi="宋体" w:eastAsia="宋体" w:cs="宋体"/>
                <w:color w:val="auto"/>
                <w:sz w:val="20"/>
                <w:szCs w:val="20"/>
                <w:highlight w:val="none"/>
                <w:vertAlign w:val="baseline"/>
              </w:rPr>
            </w:pPr>
          </w:p>
        </w:tc>
      </w:tr>
      <w:tr w14:paraId="0C23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32AB3642">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4B8A77A1">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第三方监督配合</w:t>
            </w:r>
          </w:p>
        </w:tc>
        <w:tc>
          <w:tcPr>
            <w:tcW w:w="1727" w:type="pct"/>
            <w:noWrap w:val="0"/>
            <w:vAlign w:val="center"/>
          </w:tcPr>
          <w:p w14:paraId="27AE6986">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拒绝接受采购人、社区或第三方机构监督检查</w:t>
            </w:r>
          </w:p>
        </w:tc>
        <w:tc>
          <w:tcPr>
            <w:tcW w:w="1310" w:type="pct"/>
            <w:noWrap w:val="0"/>
            <w:vAlign w:val="center"/>
          </w:tcPr>
          <w:p w14:paraId="3EB20BC3">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每推诿1次扣1分</w:t>
            </w:r>
          </w:p>
        </w:tc>
        <w:tc>
          <w:tcPr>
            <w:tcW w:w="410" w:type="pct"/>
            <w:noWrap w:val="0"/>
            <w:vAlign w:val="center"/>
          </w:tcPr>
          <w:p w14:paraId="148EC001">
            <w:pPr>
              <w:jc w:val="both"/>
              <w:rPr>
                <w:rFonts w:hint="eastAsia" w:ascii="宋体" w:hAnsi="宋体" w:eastAsia="宋体" w:cs="宋体"/>
                <w:color w:val="auto"/>
                <w:sz w:val="20"/>
                <w:szCs w:val="20"/>
                <w:highlight w:val="none"/>
                <w:vertAlign w:val="baseline"/>
              </w:rPr>
            </w:pPr>
          </w:p>
        </w:tc>
      </w:tr>
      <w:tr w14:paraId="56D4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00E7DEE0">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0FD8D4DB">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社会投诉</w:t>
            </w:r>
          </w:p>
        </w:tc>
        <w:tc>
          <w:tcPr>
            <w:tcW w:w="1727" w:type="pct"/>
            <w:noWrap w:val="0"/>
            <w:vAlign w:val="center"/>
          </w:tcPr>
          <w:p w14:paraId="07BA57CE">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1"/>
                <w:szCs w:val="21"/>
                <w:highlight w:val="none"/>
              </w:rPr>
              <w:t>被部门、群众投诉核查情况属实的</w:t>
            </w:r>
          </w:p>
        </w:tc>
        <w:tc>
          <w:tcPr>
            <w:tcW w:w="1310" w:type="pct"/>
            <w:noWrap w:val="0"/>
            <w:vAlign w:val="center"/>
          </w:tcPr>
          <w:p w14:paraId="7525C764">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每次扣2分</w:t>
            </w:r>
          </w:p>
        </w:tc>
        <w:tc>
          <w:tcPr>
            <w:tcW w:w="410" w:type="pct"/>
            <w:noWrap w:val="0"/>
            <w:vAlign w:val="center"/>
          </w:tcPr>
          <w:p w14:paraId="44996452">
            <w:pPr>
              <w:jc w:val="both"/>
              <w:rPr>
                <w:rFonts w:hint="eastAsia" w:ascii="宋体" w:hAnsi="宋体" w:eastAsia="宋体" w:cs="宋体"/>
                <w:color w:val="auto"/>
                <w:sz w:val="20"/>
                <w:szCs w:val="20"/>
                <w:highlight w:val="none"/>
                <w:vertAlign w:val="baseline"/>
              </w:rPr>
            </w:pPr>
          </w:p>
        </w:tc>
      </w:tr>
      <w:tr w14:paraId="313C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15A76965">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56335AF2">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部门监督</w:t>
            </w:r>
          </w:p>
        </w:tc>
        <w:tc>
          <w:tcPr>
            <w:tcW w:w="1727" w:type="pct"/>
            <w:noWrap w:val="0"/>
            <w:vAlign w:val="center"/>
          </w:tcPr>
          <w:p w14:paraId="54D393B0">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rPr>
              <w:t>被省、市、镇通报批评的，被媒体曝光的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经核实</w:t>
            </w:r>
          </w:p>
        </w:tc>
        <w:tc>
          <w:tcPr>
            <w:tcW w:w="1310" w:type="pct"/>
            <w:noWrap w:val="0"/>
            <w:vAlign w:val="center"/>
          </w:tcPr>
          <w:p w14:paraId="49D93CCB">
            <w:pPr>
              <w:keepNext w:val="0"/>
              <w:keepLines w:val="0"/>
              <w:widowControl/>
              <w:suppressLineNumbers w:val="0"/>
              <w:jc w:val="both"/>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0"/>
                <w:szCs w:val="20"/>
                <w:highlight w:val="none"/>
              </w:rPr>
              <w:t>每次扣5分</w:t>
            </w:r>
          </w:p>
        </w:tc>
        <w:tc>
          <w:tcPr>
            <w:tcW w:w="410" w:type="pct"/>
            <w:noWrap w:val="0"/>
            <w:vAlign w:val="center"/>
          </w:tcPr>
          <w:p w14:paraId="61568F5B">
            <w:pPr>
              <w:jc w:val="both"/>
              <w:rPr>
                <w:rFonts w:hint="eastAsia" w:ascii="宋体" w:hAnsi="宋体" w:eastAsia="宋体" w:cs="宋体"/>
                <w:color w:val="auto"/>
                <w:sz w:val="20"/>
                <w:szCs w:val="20"/>
                <w:highlight w:val="none"/>
                <w:vertAlign w:val="baseline"/>
              </w:rPr>
            </w:pPr>
          </w:p>
        </w:tc>
      </w:tr>
      <w:tr w14:paraId="5C81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pct"/>
            <w:vMerge w:val="continue"/>
            <w:noWrap w:val="0"/>
            <w:vAlign w:val="center"/>
          </w:tcPr>
          <w:p w14:paraId="4E4B6360">
            <w:pPr>
              <w:jc w:val="both"/>
              <w:rPr>
                <w:rFonts w:hint="eastAsia" w:ascii="宋体" w:hAnsi="宋体" w:eastAsia="宋体" w:cs="宋体"/>
                <w:color w:val="auto"/>
                <w:sz w:val="20"/>
                <w:szCs w:val="20"/>
                <w:highlight w:val="none"/>
                <w:vertAlign w:val="baseline"/>
              </w:rPr>
            </w:pPr>
          </w:p>
        </w:tc>
        <w:tc>
          <w:tcPr>
            <w:tcW w:w="720" w:type="pct"/>
            <w:noWrap w:val="0"/>
            <w:vAlign w:val="center"/>
          </w:tcPr>
          <w:p w14:paraId="0543D9A4">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投诉处理实效</w:t>
            </w:r>
          </w:p>
        </w:tc>
        <w:tc>
          <w:tcPr>
            <w:tcW w:w="1727" w:type="pct"/>
            <w:noWrap w:val="0"/>
            <w:vAlign w:val="center"/>
          </w:tcPr>
          <w:p w14:paraId="0D37211E">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未及时响应或处理群众/部门有效投诉</w:t>
            </w:r>
          </w:p>
        </w:tc>
        <w:tc>
          <w:tcPr>
            <w:tcW w:w="1310" w:type="pct"/>
            <w:noWrap w:val="0"/>
            <w:vAlign w:val="center"/>
          </w:tcPr>
          <w:p w14:paraId="45B509B5">
            <w:pPr>
              <w:keepNext w:val="0"/>
              <w:keepLines w:val="0"/>
              <w:widowControl/>
              <w:suppressLineNumbers w:val="0"/>
              <w:jc w:val="both"/>
              <w:textAlignment w:val="center"/>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每例扣2分</w:t>
            </w:r>
          </w:p>
        </w:tc>
        <w:tc>
          <w:tcPr>
            <w:tcW w:w="410" w:type="pct"/>
            <w:noWrap w:val="0"/>
            <w:vAlign w:val="center"/>
          </w:tcPr>
          <w:p w14:paraId="2EB7FA78">
            <w:pPr>
              <w:jc w:val="both"/>
              <w:rPr>
                <w:rFonts w:hint="eastAsia" w:ascii="宋体" w:hAnsi="宋体" w:eastAsia="宋体" w:cs="宋体"/>
                <w:color w:val="auto"/>
                <w:sz w:val="20"/>
                <w:szCs w:val="20"/>
                <w:highlight w:val="none"/>
                <w:vertAlign w:val="baseline"/>
              </w:rPr>
            </w:pPr>
          </w:p>
        </w:tc>
      </w:tr>
      <w:tr w14:paraId="7C12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38B3EB9A">
            <w:pPr>
              <w:jc w:val="center"/>
              <w:rPr>
                <w:rFonts w:hint="eastAsia" w:ascii="宋体" w:hAnsi="宋体" w:eastAsia="宋体" w:cs="宋体"/>
                <w:color w:val="auto"/>
                <w:sz w:val="20"/>
                <w:szCs w:val="20"/>
                <w:highlight w:val="none"/>
                <w:vertAlign w:val="baseline"/>
              </w:rPr>
            </w:pPr>
            <w:r>
              <w:rPr>
                <w:rFonts w:hint="eastAsia" w:ascii="宋体" w:hAnsi="宋体" w:eastAsia="宋体" w:cs="宋体"/>
                <w:color w:val="auto"/>
                <w:sz w:val="20"/>
                <w:szCs w:val="20"/>
                <w:highlight w:val="none"/>
              </w:rPr>
              <w:t>合计总得分（   ）=总分（100）-合计总扣分（   ）</w:t>
            </w:r>
          </w:p>
        </w:tc>
      </w:tr>
    </w:tbl>
    <w:p w14:paraId="28BDD235">
      <w:pPr>
        <w:pStyle w:val="30"/>
        <w:ind w:firstLine="4600" w:firstLineChars="2300"/>
        <w:jc w:val="both"/>
        <w:rPr>
          <w:rFonts w:hint="eastAsia" w:ascii="宋体" w:hAnsi="宋体" w:eastAsia="宋体" w:cs="宋体"/>
          <w:color w:val="auto"/>
          <w:sz w:val="20"/>
          <w:highlight w:val="none"/>
        </w:rPr>
      </w:pPr>
      <w:r>
        <w:rPr>
          <w:rFonts w:hint="eastAsia" w:ascii="宋体" w:hAnsi="宋体" w:eastAsia="宋体" w:cs="宋体"/>
          <w:color w:val="auto"/>
          <w:sz w:val="20"/>
          <w:highlight w:val="none"/>
        </w:rPr>
        <w:t>验收人员</w:t>
      </w:r>
      <w:r>
        <w:rPr>
          <w:rFonts w:hint="eastAsia" w:ascii="宋体" w:hAnsi="宋体" w:eastAsia="宋体" w:cs="宋体"/>
          <w:color w:val="auto"/>
          <w:sz w:val="20"/>
          <w:highlight w:val="none"/>
        </w:rPr>
        <w:t>签字：</w:t>
      </w:r>
    </w:p>
    <w:p w14:paraId="11784043">
      <w:pPr>
        <w:numPr>
          <w:ilvl w:val="0"/>
          <w:numId w:val="0"/>
        </w:numPr>
        <w:rPr>
          <w:rFonts w:hint="eastAsia" w:ascii="宋体" w:hAnsi="宋体" w:eastAsia="宋体" w:cs="宋体"/>
          <w:color w:val="auto"/>
          <w:sz w:val="21"/>
          <w:szCs w:val="21"/>
          <w:highlight w:val="none"/>
        </w:rPr>
      </w:pPr>
    </w:p>
    <w:p w14:paraId="4C2BCCAF">
      <w:pPr>
        <w:numPr>
          <w:ilvl w:val="0"/>
          <w:numId w:val="0"/>
        </w:num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说明：</w:t>
      </w:r>
    </w:p>
    <w:p w14:paraId="39CD791A">
      <w:pPr>
        <w:numPr>
          <w:ilvl w:val="0"/>
          <w:numId w:val="2"/>
        </w:numPr>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考核总分为100分，各项考核扣分不设上限，扣完为止。</w:t>
      </w:r>
    </w:p>
    <w:p w14:paraId="460F84ED">
      <w:pPr>
        <w:numPr>
          <w:ilvl w:val="0"/>
          <w:numId w:val="2"/>
        </w:numPr>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考核得分90分（含）以上100%结算当月服务费；得分80分（含）-89分的，以90分为基础，</w:t>
      </w:r>
      <w:r>
        <w:rPr>
          <w:rFonts w:hint="eastAsia" w:ascii="宋体" w:hAnsi="宋体" w:eastAsia="宋体" w:cs="宋体"/>
          <w:color w:val="auto"/>
          <w:sz w:val="20"/>
          <w:szCs w:val="20"/>
          <w:highlight w:val="none"/>
        </w:rPr>
        <w:t>每少1分扣除当</w:t>
      </w:r>
      <w:r>
        <w:rPr>
          <w:rFonts w:hint="eastAsia" w:ascii="宋体" w:hAnsi="宋体" w:eastAsia="宋体" w:cs="宋体"/>
          <w:color w:val="auto"/>
          <w:sz w:val="20"/>
          <w:szCs w:val="20"/>
          <w:highlight w:val="none"/>
          <w:lang w:val="en-US" w:eastAsia="zh-CN"/>
        </w:rPr>
        <w:t>月服务</w:t>
      </w:r>
      <w:r>
        <w:rPr>
          <w:rFonts w:hint="eastAsia" w:ascii="宋体" w:hAnsi="宋体" w:eastAsia="宋体" w:cs="宋体"/>
          <w:color w:val="auto"/>
          <w:sz w:val="20"/>
          <w:szCs w:val="20"/>
          <w:highlight w:val="none"/>
        </w:rPr>
        <w:t>费的1％；</w:t>
      </w:r>
      <w:r>
        <w:rPr>
          <w:rFonts w:hint="eastAsia" w:ascii="宋体" w:hAnsi="宋体" w:eastAsia="宋体" w:cs="宋体"/>
          <w:color w:val="auto"/>
          <w:sz w:val="20"/>
          <w:szCs w:val="20"/>
          <w:highlight w:val="none"/>
          <w:lang w:val="en-US" w:eastAsia="zh-CN"/>
        </w:rPr>
        <w:t>得分79分</w:t>
      </w:r>
      <w:r>
        <w:rPr>
          <w:rFonts w:hint="eastAsia" w:ascii="宋体" w:hAnsi="宋体" w:eastAsia="宋体" w:cs="宋体"/>
          <w:color w:val="auto"/>
          <w:sz w:val="20"/>
          <w:szCs w:val="20"/>
          <w:highlight w:val="none"/>
          <w:lang w:val="en-US" w:eastAsia="zh-CN"/>
        </w:rPr>
        <w:t>（含）</w:t>
      </w:r>
      <w:r>
        <w:rPr>
          <w:rFonts w:hint="eastAsia" w:ascii="宋体" w:hAnsi="宋体" w:eastAsia="宋体" w:cs="宋体"/>
          <w:color w:val="auto"/>
          <w:sz w:val="20"/>
          <w:szCs w:val="20"/>
          <w:highlight w:val="none"/>
          <w:lang w:val="en-US" w:eastAsia="zh-CN"/>
        </w:rPr>
        <w:t>以下的，以90分为基础，每少1分扣除</w:t>
      </w:r>
      <w:r>
        <w:rPr>
          <w:rFonts w:hint="eastAsia" w:ascii="宋体" w:hAnsi="宋体" w:eastAsia="宋体" w:cs="宋体"/>
          <w:color w:val="auto"/>
          <w:sz w:val="20"/>
          <w:szCs w:val="20"/>
          <w:highlight w:val="none"/>
        </w:rPr>
        <w:t>当</w:t>
      </w:r>
      <w:r>
        <w:rPr>
          <w:rFonts w:hint="eastAsia" w:ascii="宋体" w:hAnsi="宋体" w:eastAsia="宋体" w:cs="宋体"/>
          <w:color w:val="auto"/>
          <w:sz w:val="20"/>
          <w:szCs w:val="20"/>
          <w:highlight w:val="none"/>
          <w:lang w:val="en-US" w:eastAsia="zh-CN"/>
        </w:rPr>
        <w:t>月服务费的2％。</w:t>
      </w:r>
    </w:p>
    <w:p w14:paraId="0A408866">
      <w:pPr>
        <w:numPr>
          <w:ilvl w:val="0"/>
          <w:numId w:val="2"/>
        </w:numPr>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采购人（甲方）保留对本考核标准的修改权和解释权。</w:t>
      </w:r>
    </w:p>
    <w:p w14:paraId="49368D06">
      <w:pPr>
        <w:pStyle w:val="30"/>
        <w:spacing w:line="360" w:lineRule="auto"/>
        <w:rPr>
          <w:rFonts w:hint="eastAsia" w:ascii="宋体" w:hAnsi="宋体" w:eastAsia="宋体" w:cs="宋体"/>
          <w:color w:val="auto"/>
          <w:sz w:val="21"/>
          <w:szCs w:val="21"/>
          <w:highlight w:val="none"/>
          <w:lang w:val="en-US" w:eastAsia="zh-CN"/>
        </w:rPr>
      </w:pPr>
    </w:p>
    <w:p w14:paraId="577D706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lang w:eastAsia="zh-CN"/>
        </w:rPr>
        <w:t>黄江镇“四害”消杀项目</w:t>
      </w:r>
      <w:r>
        <w:rPr>
          <w:rFonts w:hint="eastAsia" w:ascii="宋体" w:hAnsi="宋体" w:eastAsia="宋体" w:cs="宋体"/>
          <w:color w:val="auto"/>
          <w:sz w:val="21"/>
          <w:szCs w:val="21"/>
          <w:highlight w:val="none"/>
        </w:rPr>
        <w:t>）</w:t>
      </w:r>
    </w:p>
    <w:p w14:paraId="7835E6D1">
      <w:pPr>
        <w:pStyle w:val="3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1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1"/>
        <w:gridCol w:w="6822"/>
      </w:tblGrid>
      <w:tr w14:paraId="5E5AF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7" w:hRule="atLeast"/>
        </w:trPr>
        <w:tc>
          <w:tcPr>
            <w:tcW w:w="993" w:type="pct"/>
            <w:vAlign w:val="center"/>
          </w:tcPr>
          <w:p w14:paraId="0D0406AA">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标的提供的时间</w:t>
            </w:r>
          </w:p>
        </w:tc>
        <w:tc>
          <w:tcPr>
            <w:tcW w:w="4006" w:type="pct"/>
            <w:vAlign w:val="center"/>
          </w:tcPr>
          <w:p w14:paraId="5C31205E">
            <w:pPr>
              <w:pStyle w:val="30"/>
              <w:jc w:val="both"/>
              <w:rPr>
                <w:rFonts w:hint="eastAsia" w:ascii="宋体" w:hAnsi="宋体" w:eastAsia="宋体" w:cs="宋体"/>
                <w:color w:val="auto"/>
                <w:highlight w:val="none"/>
              </w:rPr>
            </w:pPr>
            <w:r>
              <w:rPr>
                <w:rFonts w:hint="eastAsia" w:ascii="宋体" w:hAnsi="宋体" w:eastAsia="宋体" w:cs="宋体"/>
                <w:color w:val="auto"/>
                <w:highlight w:val="none"/>
              </w:rPr>
              <w:t>签订合同之日起</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年</w:t>
            </w:r>
            <w:r>
              <w:rPr>
                <w:rFonts w:hint="eastAsia" w:ascii="宋体" w:hAnsi="宋体" w:eastAsia="宋体" w:cs="宋体"/>
                <w:color w:val="auto"/>
                <w:highlight w:val="none"/>
              </w:rPr>
              <w:t>，具体合同时间以实际签订时间为准。</w:t>
            </w:r>
          </w:p>
        </w:tc>
      </w:tr>
      <w:tr w14:paraId="5B22B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2" w:hRule="atLeast"/>
        </w:trPr>
        <w:tc>
          <w:tcPr>
            <w:tcW w:w="993" w:type="pct"/>
            <w:vAlign w:val="center"/>
          </w:tcPr>
          <w:p w14:paraId="3CE7D4DB">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标的提供的地点</w:t>
            </w:r>
          </w:p>
        </w:tc>
        <w:tc>
          <w:tcPr>
            <w:tcW w:w="4006" w:type="pct"/>
            <w:vAlign w:val="center"/>
          </w:tcPr>
          <w:p w14:paraId="1A1E2FA9">
            <w:pPr>
              <w:pStyle w:val="30"/>
              <w:jc w:val="both"/>
              <w:rPr>
                <w:rFonts w:hint="eastAsia" w:ascii="宋体" w:hAnsi="宋体" w:eastAsia="宋体" w:cs="宋体"/>
                <w:color w:val="auto"/>
                <w:highlight w:val="none"/>
              </w:rPr>
            </w:pPr>
            <w:r>
              <w:rPr>
                <w:rFonts w:hint="eastAsia" w:ascii="宋体" w:hAnsi="宋体" w:eastAsia="宋体" w:cs="宋体"/>
                <w:color w:val="auto"/>
                <w:highlight w:val="none"/>
              </w:rPr>
              <w:t>采购人指定的地点。</w:t>
            </w:r>
          </w:p>
        </w:tc>
      </w:tr>
      <w:tr w14:paraId="2585D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pct"/>
            <w:vAlign w:val="center"/>
          </w:tcPr>
          <w:p w14:paraId="4F7A8E38">
            <w:pPr>
              <w:pStyle w:val="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付款方式</w:t>
            </w:r>
          </w:p>
        </w:tc>
        <w:tc>
          <w:tcPr>
            <w:tcW w:w="4006" w:type="pct"/>
          </w:tcPr>
          <w:p w14:paraId="648DD021">
            <w:pPr>
              <w:pStyle w:val="30"/>
              <w:rPr>
                <w:rFonts w:hint="eastAsia" w:ascii="宋体" w:hAnsi="宋体" w:eastAsia="宋体" w:cs="宋体"/>
                <w:color w:val="auto"/>
                <w:highlight w:val="none"/>
                <w:lang w:eastAsia="zh-CN"/>
              </w:rPr>
            </w:pPr>
            <w:r>
              <w:rPr>
                <w:rFonts w:hint="eastAsia" w:ascii="宋体" w:hAnsi="宋体" w:eastAsia="宋体" w:cs="宋体"/>
                <w:color w:val="auto"/>
                <w:highlight w:val="none"/>
              </w:rPr>
              <w:t>1期：支付比例100%</w:t>
            </w:r>
            <w:r>
              <w:rPr>
                <w:rFonts w:hint="eastAsia" w:ascii="宋体" w:hAnsi="宋体" w:eastAsia="宋体" w:cs="宋体"/>
                <w:color w:val="auto"/>
                <w:highlight w:val="none"/>
                <w:lang w:eastAsia="zh-CN"/>
              </w:rPr>
              <w:t>。</w:t>
            </w:r>
          </w:p>
          <w:p w14:paraId="755CA5F3">
            <w:pPr>
              <w:pStyle w:val="30"/>
              <w:numPr>
                <w:ilvl w:val="0"/>
                <w:numId w:val="0"/>
              </w:numPr>
              <w:rPr>
                <w:rFonts w:hint="eastAsia" w:ascii="宋体" w:hAnsi="宋体" w:eastAsia="宋体" w:cs="宋体"/>
                <w:color w:val="auto"/>
                <w:highlight w:val="none"/>
                <w:lang w:eastAsia="zh-CN"/>
              </w:rPr>
            </w:pPr>
            <w:r>
              <w:rPr>
                <w:rFonts w:hint="eastAsia" w:ascii="宋体" w:hAnsi="宋体" w:eastAsia="宋体" w:cs="宋体"/>
                <w:b w:val="0"/>
                <w:bCs w:val="0"/>
                <w:color w:val="auto"/>
                <w:highlight w:val="none"/>
                <w:lang w:val="en-US" w:eastAsia="zh-Hans"/>
              </w:rPr>
              <w:t>1、</w:t>
            </w:r>
            <w:r>
              <w:rPr>
                <w:rFonts w:hint="eastAsia" w:ascii="宋体" w:hAnsi="宋体" w:eastAsia="宋体" w:cs="宋体"/>
                <w:color w:val="auto"/>
                <w:highlight w:val="none"/>
              </w:rPr>
              <w:t>按</w:t>
            </w:r>
            <w:r>
              <w:rPr>
                <w:rFonts w:hint="eastAsia" w:ascii="宋体" w:hAnsi="宋体" w:eastAsia="宋体" w:cs="宋体"/>
                <w:color w:val="auto"/>
                <w:highlight w:val="none"/>
              </w:rPr>
              <w:t>按月支付服务款，每月结合考核标准进行结算。合同生效后第二个月起每月20日前向</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支付上月的服务款</w:t>
            </w:r>
            <w:r>
              <w:rPr>
                <w:rFonts w:hint="eastAsia" w:ascii="宋体" w:hAnsi="宋体" w:eastAsia="宋体" w:cs="宋体"/>
                <w:color w:val="auto"/>
                <w:highlight w:val="none"/>
              </w:rPr>
              <w:t>，根据考核</w:t>
            </w:r>
            <w:r>
              <w:rPr>
                <w:rFonts w:hint="eastAsia" w:ascii="宋体" w:hAnsi="宋体" w:eastAsia="宋体" w:cs="宋体"/>
                <w:color w:val="auto"/>
                <w:highlight w:val="none"/>
                <w:lang w:val="en-US" w:eastAsia="zh-CN"/>
              </w:rPr>
              <w:t>评分表</w:t>
            </w:r>
            <w:r>
              <w:rPr>
                <w:rFonts w:hint="eastAsia" w:ascii="宋体" w:hAnsi="宋体" w:eastAsia="宋体" w:cs="宋体"/>
                <w:color w:val="auto"/>
                <w:highlight w:val="none"/>
              </w:rPr>
              <w:t>得分情况扣减</w:t>
            </w:r>
            <w:r>
              <w:rPr>
                <w:rFonts w:hint="eastAsia" w:ascii="宋体" w:hAnsi="宋体" w:eastAsia="宋体" w:cs="宋体"/>
                <w:color w:val="auto"/>
                <w:highlight w:val="none"/>
                <w:lang w:val="en-US" w:eastAsia="zh-CN"/>
              </w:rPr>
              <w:t>后结算</w:t>
            </w:r>
            <w:r>
              <w:rPr>
                <w:rFonts w:hint="eastAsia" w:ascii="宋体" w:hAnsi="宋体" w:eastAsia="宋体" w:cs="宋体"/>
                <w:color w:val="auto"/>
                <w:highlight w:val="none"/>
              </w:rPr>
              <w:t>，每月度</w:t>
            </w:r>
            <w:r>
              <w:rPr>
                <w:rFonts w:hint="eastAsia" w:ascii="宋体" w:hAnsi="宋体" w:eastAsia="宋体" w:cs="宋体"/>
                <w:color w:val="auto"/>
                <w:highlight w:val="none"/>
                <w:lang w:val="en-US" w:eastAsia="zh-CN"/>
              </w:rPr>
              <w:t>服务费</w:t>
            </w:r>
            <w:r>
              <w:rPr>
                <w:rFonts w:hint="eastAsia" w:ascii="宋体" w:hAnsi="宋体" w:eastAsia="宋体" w:cs="宋体"/>
                <w:color w:val="auto"/>
                <w:highlight w:val="none"/>
              </w:rPr>
              <w:t>按合同总价÷</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个月平均计算。</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考核评分表</w:t>
            </w:r>
            <w:r>
              <w:rPr>
                <w:rFonts w:hint="eastAsia" w:ascii="宋体" w:hAnsi="宋体" w:eastAsia="宋体" w:cs="宋体"/>
                <w:color w:val="auto"/>
                <w:sz w:val="21"/>
                <w:szCs w:val="21"/>
                <w:highlight w:val="none"/>
                <w:lang w:val="en-US" w:eastAsia="zh-CN"/>
              </w:rPr>
              <w:t>详见</w:t>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highlight w:val="none"/>
                <w:lang w:eastAsia="zh-CN"/>
              </w:rPr>
              <w:t>）</w:t>
            </w:r>
          </w:p>
          <w:p w14:paraId="6A4090E5">
            <w:pPr>
              <w:pStyle w:val="30"/>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Hans"/>
              </w:rPr>
              <w:t>2、每期款项支付时，</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lang w:val="en-US" w:eastAsia="zh-Hans"/>
              </w:rPr>
              <w:t>应在接到甲方开票通知后10天内，提交相应金额的正式发票；如</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lang w:val="en-US" w:eastAsia="zh-Hans"/>
              </w:rPr>
              <w:t>未能按照约定提供相应金额的正式发票，由此产生的责任和损失由</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lang w:val="en-US" w:eastAsia="zh-Hans"/>
              </w:rPr>
              <w:t>自行承担</w:t>
            </w:r>
            <w:r>
              <w:rPr>
                <w:rFonts w:hint="eastAsia" w:ascii="宋体" w:hAnsi="宋体" w:eastAsia="宋体" w:cs="宋体"/>
                <w:b w:val="0"/>
                <w:bCs w:val="0"/>
                <w:color w:val="auto"/>
                <w:sz w:val="21"/>
                <w:szCs w:val="21"/>
                <w:highlight w:val="none"/>
                <w:lang w:val="en-US" w:eastAsia="zh-CN"/>
              </w:rPr>
              <w:t>。</w:t>
            </w:r>
          </w:p>
          <w:p w14:paraId="0673395D">
            <w:pPr>
              <w:pStyle w:val="30"/>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中标人确认本合同项下款项均支付至本合同签署页列明的银行账户，采购人将合同款项支付至中标人指定的银行账户即完成合同款项的支付义务。如本合同尾部列明的收款账户发生任何变更，中标人应自变更之日起立即书面通知采购人；否则，由此引起的相关后果均由中标人自行承担。</w:t>
            </w:r>
          </w:p>
          <w:p w14:paraId="55FB4F93">
            <w:pPr>
              <w:pStyle w:val="30"/>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1）因采购人使用的是财政资金，采购人在前款规定的付款时间为向政府采购支付部门提出办理财政支付申请手续的时间（不含政府财政支付部门审核的时间），在规定时间内提出支付申请手续后即不视为采购人逾期支付。</w:t>
            </w:r>
          </w:p>
          <w:p w14:paraId="4F8C5545">
            <w:pPr>
              <w:pStyle w:val="30"/>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（2）本项目资金由政府财政拨款，如因客观原因影响拨款未能及时到位，中标人不得以此为由而不履行或怠于履行本合同规定的义务或者追究采购人的违约责任。</w:t>
            </w:r>
          </w:p>
          <w:p w14:paraId="74294149">
            <w:pPr>
              <w:pStyle w:val="30"/>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（3）本项目价款为财政拨款资金，由于国家法律、法规、规章、政策和财政预算发生变化，影响合同价款的，合同双方当事人应协商一致相应调整。</w:t>
            </w:r>
          </w:p>
          <w:p w14:paraId="6CA8618E">
            <w:pPr>
              <w:pStyle w:val="30"/>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（4）如采购人或上级部门等对环卫管理模式进行改革或创新管理方式，中标人需无条件配合，或终止合同、办理交接手续。</w:t>
            </w:r>
          </w:p>
          <w:p w14:paraId="3C9573CC">
            <w:pPr>
              <w:pStyle w:val="30"/>
              <w:rPr>
                <w:rFonts w:hint="eastAsia" w:ascii="宋体" w:hAnsi="宋体" w:eastAsia="宋体" w:cs="宋体"/>
                <w:color w:val="auto"/>
                <w:highlight w:val="none"/>
              </w:rPr>
            </w:pPr>
            <w:r>
              <w:rPr>
                <w:rFonts w:hint="eastAsia" w:ascii="宋体" w:hAnsi="宋体" w:eastAsia="宋体" w:cs="宋体"/>
                <w:color w:val="auto"/>
                <w:highlight w:val="none"/>
              </w:rPr>
              <w:t>如项目发生合同融资，采购人需将合同款项支付到合同约定收款账户</w:t>
            </w:r>
          </w:p>
        </w:tc>
      </w:tr>
      <w:tr w14:paraId="71B57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pct"/>
            <w:vAlign w:val="center"/>
          </w:tcPr>
          <w:p w14:paraId="3CAA8F09">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验收要求</w:t>
            </w:r>
          </w:p>
        </w:tc>
        <w:tc>
          <w:tcPr>
            <w:tcW w:w="4006" w:type="pct"/>
          </w:tcPr>
          <w:p w14:paraId="4270EE46">
            <w:pPr>
              <w:pStyle w:val="30"/>
              <w:rPr>
                <w:rFonts w:hint="eastAsia" w:ascii="宋体" w:hAnsi="宋体" w:eastAsia="宋体" w:cs="宋体"/>
                <w:color w:val="auto"/>
                <w:highlight w:val="none"/>
              </w:rPr>
            </w:pPr>
            <w:r>
              <w:rPr>
                <w:rFonts w:hint="eastAsia" w:ascii="宋体" w:hAnsi="宋体" w:eastAsia="宋体" w:cs="宋体"/>
                <w:color w:val="auto"/>
                <w:highlight w:val="none"/>
              </w:rPr>
              <w:t>1期：</w:t>
            </w:r>
          </w:p>
          <w:p w14:paraId="3BFD3BA6">
            <w:pPr>
              <w:pStyle w:val="3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lang w:val="en-US" w:eastAsia="zh-Hans"/>
              </w:rPr>
              <w:t>（1）</w:t>
            </w:r>
            <w:r>
              <w:rPr>
                <w:rFonts w:hint="eastAsia" w:ascii="宋体" w:hAnsi="宋体" w:eastAsia="宋体" w:cs="宋体"/>
                <w:color w:val="auto"/>
                <w:highlight w:val="none"/>
              </w:rPr>
              <w:t>依据《黄江镇“四害”消杀考核评分表》（附件</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）进行考核</w:t>
            </w:r>
            <w:r>
              <w:rPr>
                <w:rFonts w:hint="eastAsia" w:ascii="宋体" w:hAnsi="宋体" w:eastAsia="宋体" w:cs="宋体"/>
                <w:color w:val="auto"/>
                <w:highlight w:val="none"/>
                <w:lang w:val="en-US" w:eastAsia="zh-CN"/>
              </w:rPr>
              <w:t>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66D71D5F">
            <w:pPr>
              <w:pStyle w:val="3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（2）由采购人根据中华人民共和国现行技术标准（含行业标准）或按</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文件要求标准以及</w:t>
            </w:r>
            <w:r>
              <w:rPr>
                <w:rFonts w:hint="eastAsia" w:ascii="宋体" w:hAnsi="宋体" w:eastAsia="宋体" w:cs="宋体"/>
                <w:color w:val="auto"/>
                <w:highlight w:val="none"/>
                <w:lang w:val="en-US" w:eastAsia="zh-CN"/>
              </w:rPr>
              <w:t>中标人的投标</w:t>
            </w:r>
            <w:r>
              <w:rPr>
                <w:rFonts w:hint="eastAsia" w:ascii="宋体" w:hAnsi="宋体" w:eastAsia="宋体" w:cs="宋体"/>
                <w:color w:val="auto"/>
                <w:highlight w:val="none"/>
              </w:rPr>
              <w:t>文件的承诺内容等组织验收。</w:t>
            </w:r>
          </w:p>
        </w:tc>
      </w:tr>
      <w:tr w14:paraId="00E68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pct"/>
            <w:shd w:val="clear" w:color="auto" w:fill="auto"/>
            <w:vAlign w:val="center"/>
          </w:tcPr>
          <w:p w14:paraId="1A0CAC18">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4006" w:type="pct"/>
            <w:shd w:val="clear" w:color="auto" w:fill="auto"/>
          </w:tcPr>
          <w:p w14:paraId="247B5DC1">
            <w:pPr>
              <w:pStyle w:val="30"/>
              <w:rPr>
                <w:rFonts w:hint="eastAsia" w:ascii="宋体" w:hAnsi="宋体" w:eastAsia="宋体" w:cs="宋体"/>
                <w:color w:val="auto"/>
                <w:highlight w:val="none"/>
                <w:lang w:eastAsia="zh-CN"/>
              </w:rPr>
            </w:pPr>
            <w:r>
              <w:rPr>
                <w:rFonts w:hint="eastAsia" w:ascii="宋体" w:hAnsi="宋体" w:eastAsia="宋体" w:cs="宋体"/>
                <w:color w:val="auto"/>
                <w:highlight w:val="none"/>
              </w:rPr>
              <w:t>交纳</w:t>
            </w:r>
            <w:r>
              <w:rPr>
                <w:rFonts w:hint="eastAsia" w:ascii="宋体" w:hAnsi="宋体" w:eastAsia="宋体" w:cs="宋体"/>
                <w:color w:val="auto"/>
                <w:highlight w:val="none"/>
              </w:rPr>
              <w:t>比例：5%</w:t>
            </w:r>
            <w:r>
              <w:rPr>
                <w:rFonts w:hint="eastAsia" w:ascii="宋体" w:hAnsi="宋体" w:eastAsia="宋体" w:cs="宋体"/>
                <w:color w:val="auto"/>
                <w:highlight w:val="none"/>
                <w:lang w:eastAsia="zh-CN"/>
              </w:rPr>
              <w:t>。</w:t>
            </w:r>
          </w:p>
          <w:p w14:paraId="45B7264F">
            <w:pPr>
              <w:pStyle w:val="30"/>
              <w:rPr>
                <w:rFonts w:hint="eastAsia" w:ascii="宋体" w:hAnsi="宋体" w:eastAsia="宋体" w:cs="宋体"/>
                <w:color w:val="auto"/>
                <w:highlight w:val="none"/>
              </w:rPr>
            </w:pPr>
            <w:r>
              <w:rPr>
                <w:rFonts w:hint="eastAsia" w:ascii="宋体" w:hAnsi="宋体" w:eastAsia="宋体" w:cs="宋体"/>
                <w:color w:val="auto"/>
                <w:highlight w:val="none"/>
                <w:lang w:eastAsia="zh-CN"/>
              </w:rPr>
              <w:t>缴费渠道：电子保函（保险）</w:t>
            </w:r>
            <w:r>
              <w:rPr>
                <w:rFonts w:hint="eastAsia" w:ascii="宋体" w:hAnsi="宋体" w:eastAsia="宋体" w:cs="宋体"/>
                <w:color w:val="auto"/>
                <w:highlight w:val="none"/>
              </w:rPr>
              <w:t>、其他</w:t>
            </w:r>
          </w:p>
          <w:p w14:paraId="473D8036">
            <w:pPr>
              <w:pStyle w:val="30"/>
              <w:rPr>
                <w:rFonts w:hint="eastAsia" w:ascii="宋体" w:hAnsi="宋体" w:eastAsia="宋体" w:cs="宋体"/>
                <w:color w:val="auto"/>
                <w:highlight w:val="none"/>
              </w:rPr>
            </w:pPr>
            <w:r>
              <w:rPr>
                <w:rFonts w:hint="eastAsia" w:ascii="宋体" w:hAnsi="宋体" w:eastAsia="宋体" w:cs="宋体"/>
                <w:color w:val="auto"/>
                <w:highlight w:val="none"/>
              </w:rPr>
              <w:t>账号：中标后由采购人另行提供</w:t>
            </w:r>
          </w:p>
          <w:p w14:paraId="57CD4A8B">
            <w:pPr>
              <w:pStyle w:val="30"/>
              <w:rPr>
                <w:rFonts w:hint="eastAsia" w:ascii="宋体" w:hAnsi="宋体" w:eastAsia="宋体" w:cs="宋体"/>
                <w:color w:val="auto"/>
                <w:highlight w:val="none"/>
              </w:rPr>
            </w:pPr>
            <w:r>
              <w:rPr>
                <w:rFonts w:hint="eastAsia" w:ascii="宋体" w:hAnsi="宋体" w:eastAsia="宋体" w:cs="宋体"/>
                <w:color w:val="auto"/>
                <w:highlight w:val="none"/>
              </w:rPr>
              <w:t>户名：中标后由采购人另行提供</w:t>
            </w:r>
          </w:p>
          <w:p w14:paraId="017D7C1D">
            <w:pPr>
              <w:pStyle w:val="30"/>
              <w:rPr>
                <w:rFonts w:hint="eastAsia" w:ascii="宋体" w:hAnsi="宋体" w:eastAsia="宋体" w:cs="宋体"/>
                <w:color w:val="auto"/>
                <w:highlight w:val="none"/>
              </w:rPr>
            </w:pPr>
            <w:r>
              <w:rPr>
                <w:rFonts w:hint="eastAsia" w:ascii="宋体" w:hAnsi="宋体" w:eastAsia="宋体" w:cs="宋体"/>
                <w:color w:val="auto"/>
                <w:highlight w:val="none"/>
              </w:rPr>
              <w:t>开户行：中标后由采购人另行提供</w:t>
            </w:r>
          </w:p>
          <w:p w14:paraId="377D6751">
            <w:pPr>
              <w:pStyle w:val="30"/>
              <w:rPr>
                <w:rFonts w:hint="eastAsia" w:ascii="宋体" w:hAnsi="宋体" w:eastAsia="宋体" w:cs="宋体"/>
                <w:color w:val="auto"/>
                <w:highlight w:val="none"/>
              </w:rPr>
            </w:pPr>
            <w:r>
              <w:rPr>
                <w:rFonts w:hint="eastAsia" w:ascii="宋体" w:hAnsi="宋体" w:eastAsia="宋体" w:cs="宋体"/>
                <w:color w:val="auto"/>
                <w:highlight w:val="none"/>
              </w:rPr>
              <w:t>支票提交方式：按照采购人要求提交</w:t>
            </w:r>
          </w:p>
          <w:p w14:paraId="06DAB02A">
            <w:pPr>
              <w:pStyle w:val="30"/>
              <w:rPr>
                <w:rFonts w:hint="eastAsia" w:ascii="宋体" w:hAnsi="宋体" w:eastAsia="宋体" w:cs="宋体"/>
                <w:color w:val="auto"/>
                <w:highlight w:val="none"/>
              </w:rPr>
            </w:pPr>
            <w:r>
              <w:rPr>
                <w:rFonts w:hint="eastAsia" w:ascii="宋体" w:hAnsi="宋体" w:eastAsia="宋体" w:cs="宋体"/>
                <w:color w:val="auto"/>
                <w:highlight w:val="none"/>
              </w:rPr>
              <w:t>汇票、本票提交方式：按照采购人要求提交</w:t>
            </w:r>
          </w:p>
          <w:p w14:paraId="79415495">
            <w:pPr>
              <w:pStyle w:val="3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1A06E0B">
            <w:pPr>
              <w:pStyle w:val="3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履约保证金可以采用下列任何一种形式:</w:t>
            </w:r>
          </w:p>
          <w:p w14:paraId="0E4E55D0">
            <w:pPr>
              <w:pStyle w:val="30"/>
              <w:rPr>
                <w:rFonts w:hint="eastAsia" w:ascii="宋体" w:hAnsi="宋体" w:eastAsia="宋体" w:cs="宋体"/>
                <w:color w:val="auto"/>
                <w:highlight w:val="none"/>
                <w:lang w:eastAsia="zh-CN"/>
              </w:rPr>
            </w:pPr>
            <w:r>
              <w:rPr>
                <w:rFonts w:hint="eastAsia" w:ascii="宋体" w:hAnsi="宋体" w:eastAsia="宋体" w:cs="宋体"/>
                <w:color w:val="auto"/>
                <w:highlight w:val="none"/>
              </w:rPr>
              <w:t>1.1无条件不可撤销的履约保函。履约保函应是合法经营的银行支行或以上级别机构出具的银行保函或者以专业担保机构、商业银行出具的担保函的形式缴交履约保证金。履约保函的内容，应符合招标文件和采购合同的要求。履约保函应在采购合同有效期满后 30天内继续有效。(1)履约保函应是合法经营的银行机构出具的银行保函。履约保函的内容，应符合招标文件、投标响应文件和采购合同的要求。履约保函应在采购合同有效期满后30天内继续有效。(2)政府采购信用担保:是将信用担保作为政策工具引入政府采购领域，由专业担保机构为中标人向采购人、代理机构、金融机构提供的保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①履约担保。是指由担保机构为中标人交纳履约保证金向采购人或采购代理机构提供的保证担保。中标人未按政府采购合同履行约定义务的，由担保机构按照保函约定履行支付履约保证金的责任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②融资担保。是指担保机构为中标人向银行融资提供的保证担保</w:t>
            </w:r>
            <w:r>
              <w:rPr>
                <w:rFonts w:hint="eastAsia" w:ascii="宋体" w:hAnsi="宋体" w:eastAsia="宋体" w:cs="宋体"/>
                <w:color w:val="auto"/>
                <w:highlight w:val="none"/>
                <w:lang w:eastAsia="zh-CN"/>
              </w:rPr>
              <w:t>。</w:t>
            </w:r>
          </w:p>
          <w:p w14:paraId="48ABA0B4">
            <w:pPr>
              <w:pStyle w:val="30"/>
              <w:rPr>
                <w:rFonts w:hint="eastAsia" w:ascii="宋体" w:hAnsi="宋体" w:eastAsia="宋体" w:cs="宋体"/>
                <w:color w:val="auto"/>
                <w:highlight w:val="none"/>
                <w:lang w:eastAsia="zh-CN"/>
              </w:rPr>
            </w:pPr>
            <w:r>
              <w:rPr>
                <w:rFonts w:hint="eastAsia" w:ascii="宋体" w:hAnsi="宋体" w:eastAsia="宋体" w:cs="宋体"/>
                <w:color w:val="auto"/>
                <w:highlight w:val="none"/>
              </w:rPr>
              <w:t>1.2保证金。可采用电汇、银行转账等方式提交</w:t>
            </w:r>
            <w:r>
              <w:rPr>
                <w:rFonts w:hint="eastAsia" w:ascii="宋体" w:hAnsi="宋体" w:eastAsia="宋体" w:cs="宋体"/>
                <w:color w:val="auto"/>
                <w:highlight w:val="none"/>
                <w:shd w:val="clear"/>
              </w:rPr>
              <w:t>，但不可以采用现金方式(包括存现方式)提交。中标人必须保证资金以中标人的名称(以分公司或子公司汇款无效)在约定的日期前到账(以银行收到为准)在汇入</w:t>
            </w:r>
            <w:r>
              <w:rPr>
                <w:rFonts w:hint="eastAsia" w:ascii="宋体" w:hAnsi="宋体" w:eastAsia="宋体" w:cs="宋体"/>
                <w:color w:val="auto"/>
                <w:highlight w:val="none"/>
              </w:rPr>
              <w:t>履约保证金时在汇款单备注中注明:采购编号。保证金汇入指定履约保证金专用账户</w:t>
            </w:r>
            <w:r>
              <w:rPr>
                <w:rFonts w:hint="eastAsia" w:ascii="宋体" w:hAnsi="宋体" w:eastAsia="宋体" w:cs="宋体"/>
                <w:color w:val="auto"/>
                <w:highlight w:val="none"/>
                <w:lang w:eastAsia="zh-CN"/>
              </w:rPr>
              <w:t>。</w:t>
            </w:r>
          </w:p>
          <w:p w14:paraId="58468495">
            <w:pPr>
              <w:pStyle w:val="3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中标人在收到中标通知书 10日内，应及时将履约保证金进账单复印件或履约保函复印件(加盖公章)交给采购人。</w:t>
            </w:r>
          </w:p>
          <w:p w14:paraId="36C330D9">
            <w:pPr>
              <w:pStyle w:val="3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履约保证金</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rPr>
              <w:t>合同期满，</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按照合同履约完毕，无违约责任或违约责任已处理完毕后30天内无息退回。中标人在依法履行完毕采购合同后，中标人可向采购人提交退回履约保证金申请，采购人收到中标人的退回履约保证金申请后予以办理。</w:t>
            </w:r>
          </w:p>
          <w:p w14:paraId="6C3FA4D7">
            <w:pPr>
              <w:pStyle w:val="3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下列任何情况发生时，履约保证金将不予退还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rPr>
              <w:t>中标人将本项目转让给他人，或者未经采购人同意，将中标项目分包给他人的，采购人可依法不予退还其履约保证金。</w:t>
            </w:r>
            <w:r>
              <w:rPr>
                <w:rFonts w:hint="eastAsia" w:ascii="宋体" w:hAnsi="宋体" w:eastAsia="宋体" w:cs="宋体"/>
                <w:color w:val="auto"/>
                <w:highlight w:val="none"/>
              </w:rPr>
              <w:t>（2）</w:t>
            </w:r>
            <w:r>
              <w:rPr>
                <w:rFonts w:hint="eastAsia" w:ascii="宋体" w:hAnsi="宋体" w:eastAsia="宋体" w:cs="宋体"/>
                <w:color w:val="auto"/>
                <w:highlight w:val="none"/>
              </w:rPr>
              <w:t>中标人在履行采购合同期间，违反有关法律法规的规定及合同约定的条款，损害了采购人的利益或致使被取消合同的，采购人可依法不予退还其履约保证金。</w:t>
            </w:r>
            <w:r>
              <w:rPr>
                <w:rFonts w:hint="eastAsia" w:ascii="宋体" w:hAnsi="宋体" w:eastAsia="宋体" w:cs="宋体"/>
                <w:color w:val="auto"/>
                <w:highlight w:val="none"/>
              </w:rPr>
              <w:t>（3）</w:t>
            </w:r>
            <w:r>
              <w:rPr>
                <w:rFonts w:hint="eastAsia" w:ascii="宋体" w:hAnsi="宋体" w:eastAsia="宋体" w:cs="宋体"/>
                <w:color w:val="auto"/>
                <w:highlight w:val="none"/>
              </w:rPr>
              <w:t>合同期内，中标人未能按照合同规定的项目服务标准，按质按量完成相关服务工作，或发生三次以上员工罢工或者无故停止工作，视为中标人违约，采购人有权解除合同，并不予退还中标人支付的履约保证金。</w:t>
            </w:r>
          </w:p>
          <w:p w14:paraId="3FDC25C7">
            <w:pPr>
              <w:pStyle w:val="30"/>
              <w:rPr>
                <w:rFonts w:hint="eastAsia" w:ascii="宋体" w:hAnsi="宋体" w:eastAsia="宋体" w:cs="宋体"/>
                <w:color w:val="auto"/>
                <w:highlight w:val="none"/>
              </w:rPr>
            </w:pPr>
          </w:p>
          <w:p w14:paraId="4F4C6747">
            <w:pPr>
              <w:pStyle w:val="30"/>
              <w:rPr>
                <w:rFonts w:hint="eastAsia" w:ascii="宋体" w:hAnsi="宋体" w:eastAsia="宋体" w:cs="宋体"/>
                <w:color w:val="auto"/>
                <w:highlight w:val="none"/>
              </w:rPr>
            </w:pPr>
            <w:r>
              <w:rPr>
                <w:rFonts w:hint="eastAsia" w:ascii="宋体" w:hAnsi="宋体" w:eastAsia="宋体" w:cs="宋体"/>
                <w:color w:val="auto"/>
                <w:highlight w:val="none"/>
              </w:rPr>
              <w:t>履约保证金可以以履约保函（保险）形式提供，目前"广东政府采购智慧云平台金融服务中心(https://gdgpo.czt.gd.gov.cn/zcdservice/zcd/guangdong/)已实现电子履约保函（保险）在线办理功能，有意愿供应商可自行办理提供。</w:t>
            </w:r>
          </w:p>
        </w:tc>
      </w:tr>
      <w:tr w14:paraId="65EDA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pct"/>
            <w:vAlign w:val="center"/>
          </w:tcPr>
          <w:p w14:paraId="49BEBB80">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4006" w:type="pct"/>
          </w:tcPr>
          <w:p w14:paraId="4A809B05">
            <w:pPr>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1、报价方式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本项目采用</w:t>
            </w:r>
            <w:r>
              <w:rPr>
                <w:rFonts w:hint="eastAsia" w:ascii="宋体" w:hAnsi="宋体" w:eastAsia="宋体" w:cs="宋体"/>
                <w:color w:val="auto"/>
                <w:highlight w:val="none"/>
                <w:lang w:val="en-US" w:eastAsia="zh-CN"/>
              </w:rPr>
              <w:t>总价</w:t>
            </w:r>
            <w:r>
              <w:rPr>
                <w:rFonts w:hint="eastAsia" w:ascii="宋体" w:hAnsi="宋体" w:eastAsia="宋体" w:cs="宋体"/>
                <w:color w:val="auto"/>
                <w:highlight w:val="none"/>
              </w:rPr>
              <w:t>方式进行报价。报价</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包含</w:t>
            </w:r>
            <w:r>
              <w:rPr>
                <w:rFonts w:hint="eastAsia" w:ascii="宋体" w:hAnsi="宋体" w:eastAsia="宋体" w:cs="宋体"/>
                <w:color w:val="auto"/>
                <w:highlight w:val="none"/>
              </w:rPr>
              <w:t>本次招标所有服务内容的费用，包括人工费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包括工资、奖金、津贴补贴、节假日加班和日常加班加点工资、特殊情况下支付的工资等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、社保费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包括医疗、失业、养老、生育工伤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公积金、培训费、住宿费、办公经费、工具费、物料费、机械设备使用费、管理费利润、规费、税金、保险费以及合同实施过程中的应预见、不可预见费用等完成合同规定责任和义务、达到合同目的一切费用。除该等费用及合同另有其他约定外，</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无须支付</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其他任何费用。</w:t>
            </w:r>
          </w:p>
        </w:tc>
      </w:tr>
    </w:tbl>
    <w:p w14:paraId="7C1DCB27">
      <w:pPr>
        <w:pStyle w:val="30"/>
        <w:rPr>
          <w:rFonts w:hint="eastAsia" w:ascii="宋体" w:hAnsi="宋体" w:eastAsia="宋体" w:cs="宋体"/>
          <w:color w:val="auto"/>
          <w:sz w:val="21"/>
          <w:szCs w:val="21"/>
          <w:highlight w:val="none"/>
        </w:rPr>
      </w:pPr>
    </w:p>
    <w:p w14:paraId="771939B6">
      <w:pPr>
        <w:pStyle w:val="30"/>
        <w:rPr>
          <w:rFonts w:hint="eastAsia" w:ascii="宋体" w:hAnsi="宋体" w:eastAsia="宋体" w:cs="宋体"/>
          <w:b/>
          <w:color w:val="auto"/>
          <w:sz w:val="21"/>
          <w:szCs w:val="21"/>
          <w:highlight w:val="none"/>
        </w:rPr>
      </w:pPr>
    </w:p>
    <w:p w14:paraId="12EDABE6">
      <w:pPr>
        <w:pStyle w:val="3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3"/>
        <w:gridCol w:w="839"/>
        <w:gridCol w:w="1098"/>
        <w:gridCol w:w="561"/>
        <w:gridCol w:w="616"/>
        <w:gridCol w:w="1416"/>
        <w:gridCol w:w="1416"/>
        <w:gridCol w:w="723"/>
        <w:gridCol w:w="671"/>
        <w:gridCol w:w="673"/>
      </w:tblGrid>
      <w:tr w14:paraId="6DB87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440EC63B">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519" w:type="pct"/>
          </w:tcPr>
          <w:p w14:paraId="7499A08D">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品目名称</w:t>
            </w:r>
          </w:p>
        </w:tc>
        <w:tc>
          <w:tcPr>
            <w:tcW w:w="671" w:type="pct"/>
          </w:tcPr>
          <w:p w14:paraId="20C745AE">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356" w:type="pct"/>
          </w:tcPr>
          <w:p w14:paraId="7461E18A">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335" w:type="pct"/>
          </w:tcPr>
          <w:p w14:paraId="32356676">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50" w:type="pct"/>
          </w:tcPr>
          <w:p w14:paraId="0B845F96">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分项预算单价（元）</w:t>
            </w:r>
          </w:p>
        </w:tc>
        <w:tc>
          <w:tcPr>
            <w:tcW w:w="750" w:type="pct"/>
          </w:tcPr>
          <w:p w14:paraId="10BFE484">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分项预算总价（元）</w:t>
            </w:r>
          </w:p>
        </w:tc>
        <w:tc>
          <w:tcPr>
            <w:tcW w:w="451" w:type="pct"/>
          </w:tcPr>
          <w:p w14:paraId="67E0CFE7">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权重%</w:t>
            </w:r>
          </w:p>
        </w:tc>
        <w:tc>
          <w:tcPr>
            <w:tcW w:w="420" w:type="pct"/>
          </w:tcPr>
          <w:p w14:paraId="79DEE8B3">
            <w:pPr>
              <w:pStyle w:val="30"/>
              <w:rPr>
                <w:rFonts w:hint="eastAsia" w:ascii="宋体" w:hAnsi="宋体" w:eastAsia="宋体" w:cs="宋体"/>
                <w:color w:val="auto"/>
                <w:highlight w:val="none"/>
              </w:rPr>
            </w:pPr>
            <w:r>
              <w:rPr>
                <w:rFonts w:hint="eastAsia" w:ascii="宋体" w:hAnsi="宋体" w:eastAsia="宋体" w:cs="宋体"/>
                <w:color w:val="auto"/>
                <w:highlight w:val="none"/>
              </w:rPr>
              <w:t>所属行业</w:t>
            </w:r>
          </w:p>
        </w:tc>
        <w:tc>
          <w:tcPr>
            <w:tcW w:w="421" w:type="pct"/>
          </w:tcPr>
          <w:p w14:paraId="7B403EEE">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技术要求</w:t>
            </w:r>
          </w:p>
        </w:tc>
      </w:tr>
      <w:tr w14:paraId="130E2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284A2CEE">
            <w:pPr>
              <w:pStyle w:val="3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19" w:type="pct"/>
          </w:tcPr>
          <w:p w14:paraId="310DEF42">
            <w:pPr>
              <w:pStyle w:val="3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其他服务</w:t>
            </w:r>
          </w:p>
        </w:tc>
        <w:tc>
          <w:tcPr>
            <w:tcW w:w="671" w:type="pct"/>
          </w:tcPr>
          <w:p w14:paraId="329CD37F">
            <w:pPr>
              <w:pStyle w:val="3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黄江镇“四害”消杀项目</w:t>
            </w:r>
          </w:p>
        </w:tc>
        <w:tc>
          <w:tcPr>
            <w:tcW w:w="356" w:type="pct"/>
          </w:tcPr>
          <w:p w14:paraId="686EAF3E">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项</w:t>
            </w:r>
          </w:p>
        </w:tc>
        <w:tc>
          <w:tcPr>
            <w:tcW w:w="335" w:type="pct"/>
          </w:tcPr>
          <w:p w14:paraId="53C70E25">
            <w:pPr>
              <w:pStyle w:val="30"/>
              <w:jc w:val="right"/>
              <w:rPr>
                <w:rFonts w:hint="eastAsia" w:ascii="宋体" w:hAnsi="宋体" w:eastAsia="宋体" w:cs="宋体"/>
                <w:color w:val="auto"/>
                <w:highlight w:val="none"/>
              </w:rPr>
            </w:pPr>
            <w:r>
              <w:rPr>
                <w:rFonts w:hint="eastAsia" w:ascii="宋体" w:hAnsi="宋体" w:eastAsia="宋体" w:cs="宋体"/>
                <w:color w:val="auto"/>
                <w:highlight w:val="none"/>
              </w:rPr>
              <w:t>1.00</w:t>
            </w:r>
          </w:p>
        </w:tc>
        <w:tc>
          <w:tcPr>
            <w:tcW w:w="750" w:type="pct"/>
          </w:tcPr>
          <w:p w14:paraId="3F43B594">
            <w:pPr>
              <w:pStyle w:val="3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1,545,600.00</w:t>
            </w:r>
          </w:p>
        </w:tc>
        <w:tc>
          <w:tcPr>
            <w:tcW w:w="750" w:type="pct"/>
          </w:tcPr>
          <w:p w14:paraId="7754F74F">
            <w:pPr>
              <w:pStyle w:val="3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1,545,600.00</w:t>
            </w:r>
          </w:p>
        </w:tc>
        <w:tc>
          <w:tcPr>
            <w:tcW w:w="451" w:type="pct"/>
          </w:tcPr>
          <w:p w14:paraId="287851CA">
            <w:pPr>
              <w:pStyle w:val="30"/>
              <w:rPr>
                <w:rFonts w:hint="eastAsia" w:ascii="宋体" w:hAnsi="宋体" w:eastAsia="宋体" w:cs="宋体"/>
                <w:color w:val="auto"/>
                <w:highlight w:val="none"/>
              </w:rPr>
            </w:pPr>
            <w:r>
              <w:rPr>
                <w:rFonts w:hint="eastAsia" w:ascii="宋体" w:hAnsi="宋体" w:eastAsia="宋体" w:cs="宋体"/>
                <w:color w:val="auto"/>
                <w:highlight w:val="none"/>
              </w:rPr>
              <w:t>100.0</w:t>
            </w:r>
          </w:p>
        </w:tc>
        <w:tc>
          <w:tcPr>
            <w:tcW w:w="420" w:type="pct"/>
          </w:tcPr>
          <w:p w14:paraId="76933E01">
            <w:pPr>
              <w:pStyle w:val="30"/>
              <w:rPr>
                <w:rFonts w:hint="eastAsia" w:ascii="宋体" w:hAnsi="宋体" w:eastAsia="宋体" w:cs="宋体"/>
                <w:color w:val="auto"/>
                <w:highlight w:val="none"/>
              </w:rPr>
            </w:pPr>
            <w:r>
              <w:rPr>
                <w:rFonts w:hint="eastAsia" w:ascii="宋体" w:hAnsi="宋体" w:eastAsia="宋体" w:cs="宋体"/>
                <w:color w:val="auto"/>
                <w:highlight w:val="none"/>
              </w:rPr>
              <w:t>其他未列明行业</w:t>
            </w:r>
          </w:p>
        </w:tc>
        <w:tc>
          <w:tcPr>
            <w:tcW w:w="421" w:type="pct"/>
          </w:tcPr>
          <w:p w14:paraId="6B66E218">
            <w:pPr>
              <w:pStyle w:val="30"/>
              <w:rPr>
                <w:rFonts w:hint="eastAsia" w:ascii="宋体" w:hAnsi="宋体" w:eastAsia="宋体" w:cs="宋体"/>
                <w:color w:val="auto"/>
                <w:highlight w:val="none"/>
              </w:rPr>
            </w:pPr>
            <w:r>
              <w:rPr>
                <w:rFonts w:hint="eastAsia" w:ascii="宋体" w:hAnsi="宋体" w:eastAsia="宋体" w:cs="宋体"/>
                <w:color w:val="auto"/>
                <w:highlight w:val="none"/>
              </w:rPr>
              <w:t>详见附表一</w:t>
            </w:r>
          </w:p>
        </w:tc>
      </w:tr>
    </w:tbl>
    <w:p w14:paraId="52321559">
      <w:pPr>
        <w:pStyle w:val="30"/>
        <w:rPr>
          <w:rFonts w:hint="eastAsia" w:ascii="宋体" w:hAnsi="宋体" w:eastAsia="宋体" w:cs="宋体"/>
          <w:color w:val="auto"/>
          <w:sz w:val="21"/>
          <w:szCs w:val="21"/>
          <w:highlight w:val="none"/>
        </w:rPr>
      </w:pPr>
    </w:p>
    <w:p w14:paraId="0C8766D0">
      <w:pPr>
        <w:pStyle w:val="30"/>
        <w:rPr>
          <w:rFonts w:hint="eastAsia" w:ascii="宋体" w:hAnsi="宋体" w:eastAsia="宋体" w:cs="宋体"/>
          <w:sz w:val="21"/>
          <w:szCs w:val="21"/>
        </w:rPr>
      </w:pPr>
      <w:r>
        <w:rPr>
          <w:rFonts w:hint="eastAsia" w:ascii="宋体" w:hAnsi="宋体" w:eastAsia="宋体" w:cs="宋体"/>
          <w:sz w:val="21"/>
          <w:szCs w:val="21"/>
        </w:rPr>
        <w:t>备注：最终综合总报价=（各产品报价×各项产品权重）的相加值</w:t>
      </w:r>
    </w:p>
    <w:p w14:paraId="3E7B0F54">
      <w:pPr>
        <w:pStyle w:val="30"/>
        <w:rPr>
          <w:rFonts w:hint="eastAsia" w:ascii="宋体" w:hAnsi="宋体" w:eastAsia="宋体" w:cs="宋体"/>
          <w:sz w:val="21"/>
          <w:szCs w:val="21"/>
          <w:lang w:eastAsia="zh-CN"/>
        </w:rPr>
      </w:pPr>
      <w:r>
        <w:rPr>
          <w:rFonts w:hint="eastAsia" w:ascii="宋体" w:hAnsi="宋体" w:eastAsia="宋体" w:cs="宋体"/>
          <w:b/>
          <w:sz w:val="21"/>
          <w:szCs w:val="21"/>
        </w:rPr>
        <w:t>附表一：</w:t>
      </w:r>
      <w:r>
        <w:rPr>
          <w:rFonts w:hint="eastAsia" w:ascii="宋体" w:hAnsi="宋体" w:eastAsia="宋体" w:cs="宋体"/>
          <w:b/>
          <w:sz w:val="21"/>
          <w:szCs w:val="21"/>
          <w:lang w:eastAsia="zh-CN"/>
        </w:rPr>
        <w:t>黄江镇“四害”消杀项目</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314A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4961C4">
            <w:pPr>
              <w:pStyle w:val="30"/>
              <w:rPr>
                <w:rFonts w:hint="eastAsia" w:ascii="宋体" w:hAnsi="宋体" w:eastAsia="宋体" w:cs="宋体"/>
                <w:sz w:val="21"/>
                <w:szCs w:val="21"/>
              </w:rPr>
            </w:pPr>
            <w:r>
              <w:rPr>
                <w:rFonts w:hint="eastAsia" w:ascii="宋体" w:hAnsi="宋体" w:eastAsia="宋体" w:cs="宋体"/>
                <w:sz w:val="21"/>
                <w:szCs w:val="21"/>
              </w:rPr>
              <w:t>参数性质</w:t>
            </w:r>
          </w:p>
        </w:tc>
        <w:tc>
          <w:tcPr>
            <w:tcW w:w="415" w:type="dxa"/>
          </w:tcPr>
          <w:p w14:paraId="4AED021A">
            <w:pPr>
              <w:pStyle w:val="30"/>
              <w:rPr>
                <w:rFonts w:hint="eastAsia" w:ascii="宋体" w:hAnsi="宋体" w:eastAsia="宋体" w:cs="宋体"/>
                <w:sz w:val="21"/>
                <w:szCs w:val="21"/>
              </w:rPr>
            </w:pPr>
            <w:r>
              <w:rPr>
                <w:rFonts w:hint="eastAsia" w:ascii="宋体" w:hAnsi="宋体" w:eastAsia="宋体" w:cs="宋体"/>
                <w:sz w:val="21"/>
                <w:szCs w:val="21"/>
              </w:rPr>
              <w:t>序号</w:t>
            </w:r>
          </w:p>
        </w:tc>
        <w:tc>
          <w:tcPr>
            <w:tcW w:w="5814" w:type="dxa"/>
          </w:tcPr>
          <w:p w14:paraId="5BFDB2C3">
            <w:pPr>
              <w:pStyle w:val="30"/>
              <w:rPr>
                <w:rFonts w:hint="eastAsia" w:ascii="宋体" w:hAnsi="宋体" w:eastAsia="宋体" w:cs="宋体"/>
                <w:sz w:val="21"/>
                <w:szCs w:val="21"/>
              </w:rPr>
            </w:pPr>
            <w:r>
              <w:rPr>
                <w:rFonts w:hint="eastAsia" w:ascii="宋体" w:hAnsi="宋体" w:eastAsia="宋体" w:cs="宋体"/>
                <w:sz w:val="21"/>
                <w:szCs w:val="21"/>
              </w:rPr>
              <w:t>具体技术</w:t>
            </w:r>
            <w:r>
              <w:rPr>
                <w:rFonts w:hint="eastAsia" w:ascii="宋体" w:hAnsi="宋体" w:eastAsia="宋体" w:cs="宋体"/>
                <w:sz w:val="21"/>
                <w:szCs w:val="21"/>
                <w:lang w:eastAsia="zh-CN"/>
              </w:rPr>
              <w:t>（</w:t>
            </w:r>
            <w:r>
              <w:rPr>
                <w:rFonts w:hint="eastAsia" w:ascii="宋体" w:hAnsi="宋体" w:eastAsia="宋体" w:cs="宋体"/>
                <w:sz w:val="21"/>
                <w:szCs w:val="21"/>
              </w:rPr>
              <w:t>参数</w:t>
            </w:r>
            <w:r>
              <w:rPr>
                <w:rFonts w:hint="eastAsia" w:ascii="宋体" w:hAnsi="宋体" w:eastAsia="宋体" w:cs="宋体"/>
                <w:sz w:val="21"/>
                <w:szCs w:val="21"/>
                <w:lang w:eastAsia="zh-CN"/>
              </w:rPr>
              <w:t>）</w:t>
            </w:r>
            <w:r>
              <w:rPr>
                <w:rFonts w:hint="eastAsia" w:ascii="宋体" w:hAnsi="宋体" w:eastAsia="宋体" w:cs="宋体"/>
                <w:sz w:val="21"/>
                <w:szCs w:val="21"/>
              </w:rPr>
              <w:t>要求</w:t>
            </w:r>
          </w:p>
        </w:tc>
      </w:tr>
      <w:tr w14:paraId="1DF4E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E770E9">
            <w:pPr>
              <w:rPr>
                <w:rFonts w:hint="eastAsia" w:ascii="宋体" w:hAnsi="宋体" w:eastAsia="宋体" w:cs="宋体"/>
                <w:sz w:val="21"/>
                <w:szCs w:val="21"/>
              </w:rPr>
            </w:pPr>
          </w:p>
        </w:tc>
        <w:tc>
          <w:tcPr>
            <w:tcW w:w="415" w:type="dxa"/>
          </w:tcPr>
          <w:p w14:paraId="4FCE425D">
            <w:pPr>
              <w:pStyle w:val="30"/>
              <w:rPr>
                <w:rFonts w:hint="eastAsia" w:ascii="宋体" w:hAnsi="宋体" w:eastAsia="宋体" w:cs="宋体"/>
                <w:sz w:val="21"/>
                <w:szCs w:val="21"/>
              </w:rPr>
            </w:pPr>
            <w:r>
              <w:rPr>
                <w:rFonts w:hint="eastAsia" w:ascii="宋体" w:hAnsi="宋体" w:eastAsia="宋体" w:cs="宋体"/>
                <w:sz w:val="21"/>
                <w:szCs w:val="21"/>
              </w:rPr>
              <w:t>1</w:t>
            </w:r>
          </w:p>
        </w:tc>
        <w:tc>
          <w:tcPr>
            <w:tcW w:w="5814" w:type="dxa"/>
          </w:tcPr>
          <w:p w14:paraId="153CD902">
            <w:pPr>
              <w:pStyle w:val="30"/>
              <w:jc w:val="both"/>
              <w:rPr>
                <w:rFonts w:hint="eastAsia" w:ascii="宋体" w:hAnsi="宋体" w:eastAsia="宋体" w:cs="宋体"/>
                <w:sz w:val="21"/>
                <w:szCs w:val="21"/>
              </w:rPr>
            </w:pPr>
            <w:r>
              <w:rPr>
                <w:rFonts w:hint="eastAsia" w:ascii="宋体" w:hAnsi="宋体" w:eastAsia="宋体" w:cs="宋体"/>
                <w:color w:val="auto"/>
                <w:sz w:val="21"/>
                <w:highlight w:val="none"/>
              </w:rPr>
              <w:t>详见“第二章 采购需求”。</w:t>
            </w:r>
          </w:p>
        </w:tc>
      </w:tr>
      <w:tr w14:paraId="37D21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FF6EAA">
            <w:pPr>
              <w:pStyle w:val="30"/>
              <w:rPr>
                <w:rFonts w:hint="eastAsia" w:ascii="宋体" w:hAnsi="宋体" w:eastAsia="宋体" w:cs="宋体"/>
                <w:sz w:val="21"/>
                <w:szCs w:val="21"/>
              </w:rPr>
            </w:pPr>
            <w:r>
              <w:rPr>
                <w:rFonts w:hint="eastAsia" w:ascii="宋体" w:hAnsi="宋体" w:eastAsia="宋体" w:cs="宋体"/>
                <w:sz w:val="21"/>
                <w:szCs w:val="21"/>
              </w:rPr>
              <w:t>说明</w:t>
            </w:r>
          </w:p>
        </w:tc>
        <w:tc>
          <w:tcPr>
            <w:tcW w:w="6229" w:type="dxa"/>
            <w:gridSpan w:val="2"/>
          </w:tcPr>
          <w:p w14:paraId="3000716F">
            <w:pPr>
              <w:pStyle w:val="30"/>
              <w:jc w:val="left"/>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打“▲”号条款为重要技术参数，若有部分“▲”条款未响应或不满足，不作为无效投标条款。</w:t>
            </w:r>
          </w:p>
        </w:tc>
      </w:tr>
    </w:tbl>
    <w:p w14:paraId="1B87810D">
      <w:pPr>
        <w:spacing w:line="360" w:lineRule="auto"/>
        <w:rPr>
          <w:rFonts w:hint="eastAsia" w:ascii="宋体" w:hAnsi="宋体" w:eastAsia="宋体" w:cs="宋体"/>
          <w:sz w:val="21"/>
          <w:szCs w:val="21"/>
          <w:highlight w:val="none"/>
        </w:rPr>
      </w:pPr>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微软雅黑"/>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docPartObj>
        <w:docPartGallery w:val="autotext"/>
      </w:docPartObj>
    </w:sdtPr>
    <w:sdtContent>
      <w:p w14:paraId="0CC78E5D">
        <w:pPr>
          <w:pStyle w:val="9"/>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0E5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EDEBF"/>
    <w:multiLevelType w:val="singleLevel"/>
    <w:tmpl w:val="99CEDEBF"/>
    <w:lvl w:ilvl="0" w:tentative="0">
      <w:start w:val="1"/>
      <w:numFmt w:val="decimal"/>
      <w:lvlText w:val="%1."/>
      <w:lvlJc w:val="left"/>
      <w:pPr>
        <w:tabs>
          <w:tab w:val="left" w:pos="312"/>
        </w:tabs>
      </w:pPr>
    </w:lvl>
  </w:abstractNum>
  <w:abstractNum w:abstractNumId="1">
    <w:nsid w:val="416DDED2"/>
    <w:multiLevelType w:val="multilevel"/>
    <w:tmpl w:val="416DDED2"/>
    <w:lvl w:ilvl="0" w:tentative="0">
      <w:start w:val="1"/>
      <w:numFmt w:val="chineseCountingThousand"/>
      <w:lvlText w:val="第%1章 "/>
      <w:lvlJc w:val="left"/>
      <w:pPr>
        <w:ind w:left="3680" w:hanging="425"/>
      </w:pPr>
      <w:rPr>
        <w:rFonts w:hint="eastAsia"/>
      </w:rPr>
    </w:lvl>
    <w:lvl w:ilvl="1" w:tentative="0">
      <w:start w:val="1"/>
      <w:numFmt w:val="decimal"/>
      <w:pStyle w:val="3"/>
      <w:lvlText w:val="%2."/>
      <w:lvlJc w:val="left"/>
      <w:pPr>
        <w:ind w:left="1276" w:hanging="567"/>
      </w:pPr>
      <w:rPr>
        <w:rFonts w:hint="eastAsia"/>
        <w:b/>
        <w:sz w:val="21"/>
        <w:szCs w:val="21"/>
      </w:rPr>
    </w:lvl>
    <w:lvl w:ilvl="2" w:tentative="0">
      <w:start w:val="1"/>
      <w:numFmt w:val="decimal"/>
      <w:lvlText w:val="%3、"/>
      <w:lvlJc w:val="left"/>
      <w:pPr>
        <w:ind w:left="567" w:hanging="567"/>
      </w:pPr>
      <w:rPr>
        <w:rFonts w:hint="eastAsia"/>
      </w:rPr>
    </w:lvl>
    <w:lvl w:ilvl="3" w:tentative="0">
      <w:start w:val="1"/>
      <w:numFmt w:val="decimal"/>
      <w:lvlText w:val="%2.%3"/>
      <w:lvlJc w:val="left"/>
      <w:pPr>
        <w:ind w:left="1459" w:hanging="708"/>
      </w:pPr>
      <w:rPr>
        <w:rFonts w:hint="eastAsia"/>
      </w:rPr>
    </w:lvl>
    <w:lvl w:ilvl="4" w:tentative="0">
      <w:start w:val="1"/>
      <w:numFmt w:val="decimal"/>
      <w:lvlText w:val="%2.%3.%4.%5"/>
      <w:lvlJc w:val="left"/>
      <w:pPr>
        <w:ind w:left="2026" w:hanging="850"/>
      </w:pPr>
      <w:rPr>
        <w:rFonts w:hint="eastAsia"/>
      </w:rPr>
    </w:lvl>
    <w:lvl w:ilvl="5" w:tentative="0">
      <w:start w:val="1"/>
      <w:numFmt w:val="decimal"/>
      <w:lvlText w:val="%2.%3.%4.%5.%6"/>
      <w:lvlJc w:val="left"/>
      <w:pPr>
        <w:ind w:left="2735" w:hanging="1134"/>
      </w:pPr>
      <w:rPr>
        <w:rFonts w:hint="eastAsia"/>
      </w:rPr>
    </w:lvl>
    <w:lvl w:ilvl="6" w:tentative="0">
      <w:start w:val="1"/>
      <w:numFmt w:val="decimal"/>
      <w:lvlText w:val="%1.%2.%3.%4.%5.%6.%7"/>
      <w:lvlJc w:val="left"/>
      <w:pPr>
        <w:ind w:left="3302" w:hanging="1276"/>
      </w:pPr>
      <w:rPr>
        <w:rFonts w:hint="eastAsia"/>
      </w:rPr>
    </w:lvl>
    <w:lvl w:ilvl="7" w:tentative="0">
      <w:start w:val="1"/>
      <w:numFmt w:val="decimal"/>
      <w:lvlText w:val="%1.%2.%3.%4.%5.%6.%7.%8"/>
      <w:lvlJc w:val="left"/>
      <w:pPr>
        <w:ind w:left="3869" w:hanging="1418"/>
      </w:pPr>
      <w:rPr>
        <w:rFonts w:hint="eastAsia"/>
      </w:rPr>
    </w:lvl>
    <w:lvl w:ilvl="8" w:tentative="0">
      <w:start w:val="1"/>
      <w:numFmt w:val="decimal"/>
      <w:lvlText w:val="%1.%2.%3.%4.%5.%6.%7.%8.%9"/>
      <w:lvlJc w:val="left"/>
      <w:pPr>
        <w:ind w:left="4577"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代理">
    <w15:presenceInfo w15:providerId="WPS Office" w15:userId="2420653291"/>
  </w15:person>
  <w15:person w15:author="黄汉超">
    <w15:presenceInfo w15:providerId="WPS Office" w15:userId="4083382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ZTFlOGZjYzY2ODk3YzgzOGFlZjViYmY4MGM4MmQifQ=="/>
  </w:docVars>
  <w:rsids>
    <w:rsidRoot w:val="00172A27"/>
    <w:rsid w:val="00017EC7"/>
    <w:rsid w:val="0003109B"/>
    <w:rsid w:val="00033C45"/>
    <w:rsid w:val="0005284C"/>
    <w:rsid w:val="00054A11"/>
    <w:rsid w:val="000762D5"/>
    <w:rsid w:val="000935C6"/>
    <w:rsid w:val="000A7AFC"/>
    <w:rsid w:val="000B2854"/>
    <w:rsid w:val="000C429D"/>
    <w:rsid w:val="000E6FC2"/>
    <w:rsid w:val="001003C8"/>
    <w:rsid w:val="0011378F"/>
    <w:rsid w:val="001250A0"/>
    <w:rsid w:val="001260A5"/>
    <w:rsid w:val="0016016F"/>
    <w:rsid w:val="001834EA"/>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7115"/>
    <w:rsid w:val="006A78FE"/>
    <w:rsid w:val="006B6A96"/>
    <w:rsid w:val="006E4B91"/>
    <w:rsid w:val="006F1648"/>
    <w:rsid w:val="00710B61"/>
    <w:rsid w:val="00721ECA"/>
    <w:rsid w:val="007263B4"/>
    <w:rsid w:val="00745DA6"/>
    <w:rsid w:val="00747877"/>
    <w:rsid w:val="00757E0E"/>
    <w:rsid w:val="007879F5"/>
    <w:rsid w:val="00795440"/>
    <w:rsid w:val="007A5ACA"/>
    <w:rsid w:val="007C68B1"/>
    <w:rsid w:val="00801555"/>
    <w:rsid w:val="0080439A"/>
    <w:rsid w:val="00805922"/>
    <w:rsid w:val="0081176D"/>
    <w:rsid w:val="00811888"/>
    <w:rsid w:val="0083635E"/>
    <w:rsid w:val="00841D3F"/>
    <w:rsid w:val="00860E4A"/>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D6B77"/>
    <w:rsid w:val="009E5390"/>
    <w:rsid w:val="00A01D02"/>
    <w:rsid w:val="00A153A7"/>
    <w:rsid w:val="00A52B45"/>
    <w:rsid w:val="00A64B7B"/>
    <w:rsid w:val="00A93230"/>
    <w:rsid w:val="00AC0453"/>
    <w:rsid w:val="00AE6905"/>
    <w:rsid w:val="00AF17C0"/>
    <w:rsid w:val="00B270BA"/>
    <w:rsid w:val="00B705A2"/>
    <w:rsid w:val="00B968B6"/>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D0F7A"/>
    <w:rsid w:val="00CD344F"/>
    <w:rsid w:val="00CE01F6"/>
    <w:rsid w:val="00CE04E7"/>
    <w:rsid w:val="00CF384C"/>
    <w:rsid w:val="00D179DF"/>
    <w:rsid w:val="00D3200B"/>
    <w:rsid w:val="00D33AD0"/>
    <w:rsid w:val="00D50F38"/>
    <w:rsid w:val="00D65806"/>
    <w:rsid w:val="00D91AC4"/>
    <w:rsid w:val="00DA5F0B"/>
    <w:rsid w:val="00E03022"/>
    <w:rsid w:val="00E17256"/>
    <w:rsid w:val="00E20E56"/>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E01"/>
    <w:rsid w:val="00F12096"/>
    <w:rsid w:val="00F15F4A"/>
    <w:rsid w:val="00F56E88"/>
    <w:rsid w:val="00F6286B"/>
    <w:rsid w:val="00F660BD"/>
    <w:rsid w:val="00F80A98"/>
    <w:rsid w:val="00FB0B26"/>
    <w:rsid w:val="00FB2B4E"/>
    <w:rsid w:val="00FB5470"/>
    <w:rsid w:val="00FB54B7"/>
    <w:rsid w:val="00FC6132"/>
    <w:rsid w:val="00FD5A4F"/>
    <w:rsid w:val="00FF6D04"/>
    <w:rsid w:val="016D47D8"/>
    <w:rsid w:val="0855058A"/>
    <w:rsid w:val="08FE41CD"/>
    <w:rsid w:val="0C1E558E"/>
    <w:rsid w:val="0D963232"/>
    <w:rsid w:val="0DC502CD"/>
    <w:rsid w:val="0E3176E6"/>
    <w:rsid w:val="126739AA"/>
    <w:rsid w:val="13BD38DE"/>
    <w:rsid w:val="159840E5"/>
    <w:rsid w:val="174560C4"/>
    <w:rsid w:val="1ACE017F"/>
    <w:rsid w:val="1B4C4674"/>
    <w:rsid w:val="1EB0023A"/>
    <w:rsid w:val="1FE133ED"/>
    <w:rsid w:val="20631369"/>
    <w:rsid w:val="24082BA2"/>
    <w:rsid w:val="24CF5440"/>
    <w:rsid w:val="254F1D14"/>
    <w:rsid w:val="263B71BF"/>
    <w:rsid w:val="275A2A6A"/>
    <w:rsid w:val="29274109"/>
    <w:rsid w:val="2A574CBB"/>
    <w:rsid w:val="2AEE2D87"/>
    <w:rsid w:val="2AF04EFB"/>
    <w:rsid w:val="2B6F150A"/>
    <w:rsid w:val="30110809"/>
    <w:rsid w:val="307E6633"/>
    <w:rsid w:val="37476E97"/>
    <w:rsid w:val="38E70C10"/>
    <w:rsid w:val="39002F83"/>
    <w:rsid w:val="3C6A0D47"/>
    <w:rsid w:val="3DE75F30"/>
    <w:rsid w:val="3DF633C5"/>
    <w:rsid w:val="3F5650F8"/>
    <w:rsid w:val="41877683"/>
    <w:rsid w:val="42DA3976"/>
    <w:rsid w:val="4387343D"/>
    <w:rsid w:val="48A26B17"/>
    <w:rsid w:val="4BE83164"/>
    <w:rsid w:val="4EF41EF6"/>
    <w:rsid w:val="503C5F69"/>
    <w:rsid w:val="53D0673A"/>
    <w:rsid w:val="55CE5FAF"/>
    <w:rsid w:val="5A865DA5"/>
    <w:rsid w:val="61A54544"/>
    <w:rsid w:val="621A5F89"/>
    <w:rsid w:val="63284D3B"/>
    <w:rsid w:val="64013B1C"/>
    <w:rsid w:val="646157DF"/>
    <w:rsid w:val="65FB49E1"/>
    <w:rsid w:val="664D01E7"/>
    <w:rsid w:val="6C1179CE"/>
    <w:rsid w:val="6ECB3352"/>
    <w:rsid w:val="6ED92188"/>
    <w:rsid w:val="6FA10EE2"/>
    <w:rsid w:val="71CB5E83"/>
    <w:rsid w:val="728F3D2C"/>
    <w:rsid w:val="732B629C"/>
    <w:rsid w:val="74394FB6"/>
    <w:rsid w:val="77A47925"/>
    <w:rsid w:val="79951709"/>
    <w:rsid w:val="7A25066E"/>
    <w:rsid w:val="7BDF3A51"/>
    <w:rsid w:val="7BE01E7B"/>
    <w:rsid w:val="7C2A42FA"/>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spacing w:before="20" w:after="20" w:line="500" w:lineRule="exact"/>
      <w:outlineLvl w:val="1"/>
    </w:pPr>
    <w:rPr>
      <w:rFonts w:ascii="宋体" w:hAnsi="宋体"/>
      <w:b/>
      <w:sz w:val="28"/>
    </w:rPr>
  </w:style>
  <w:style w:type="paragraph" w:styleId="4">
    <w:name w:val="heading 3"/>
    <w:basedOn w:val="1"/>
    <w:next w:val="1"/>
    <w:autoRedefine/>
    <w:qFormat/>
    <w:uiPriority w:val="0"/>
    <w:pPr>
      <w:keepNext/>
      <w:outlineLvl w:val="2"/>
    </w:pPr>
    <w:rPr>
      <w:rFonts w:ascii="楷体_GB2312" w:hAnsi="宋体" w:eastAsia="黑体"/>
      <w:b/>
      <w:bCs/>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unhideWhenUsed/>
    <w:qFormat/>
    <w:uiPriority w:val="99"/>
    <w:pPr>
      <w:jc w:val="left"/>
    </w:pPr>
  </w:style>
  <w:style w:type="paragraph" w:styleId="6">
    <w:name w:val="Body Text"/>
    <w:basedOn w:val="1"/>
    <w:qFormat/>
    <w:uiPriority w:val="0"/>
    <w:pPr>
      <w:widowControl/>
      <w:kinsoku w:val="0"/>
      <w:autoSpaceDE w:val="0"/>
      <w:autoSpaceDN w:val="0"/>
      <w:adjustRightInd w:val="0"/>
      <w:snapToGrid w:val="0"/>
      <w:spacing w:after="120"/>
      <w:jc w:val="left"/>
      <w:textAlignment w:val="baseline"/>
    </w:pPr>
    <w:rPr>
      <w:rFonts w:ascii="Arial" w:hAnsi="Arial" w:eastAsia="Arial" w:cs="Arial"/>
      <w:snapToGrid w:val="0"/>
      <w:color w:val="000000"/>
      <w:kern w:val="0"/>
      <w:szCs w:val="21"/>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3"/>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7"/>
    <w:autoRedefine/>
    <w:semiHidden/>
    <w:unhideWhenUsed/>
    <w:qFormat/>
    <w:uiPriority w:val="99"/>
    <w:rPr>
      <w:b/>
      <w:bCs/>
    </w:rPr>
  </w:style>
  <w:style w:type="paragraph" w:styleId="12">
    <w:name w:val="Body Text First Indent 2"/>
    <w:basedOn w:val="7"/>
    <w:semiHidden/>
    <w:unhideWhenUsed/>
    <w:qFormat/>
    <w:uiPriority w:val="99"/>
    <w:pPr>
      <w:ind w:firstLine="420" w:firstLineChars="200"/>
    </w:pPr>
  </w:style>
  <w:style w:type="table" w:styleId="14">
    <w:name w:val="Table Grid"/>
    <w:basedOn w:val="1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FollowedHyperlink"/>
    <w:basedOn w:val="15"/>
    <w:autoRedefine/>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5"/>
    <w:autoRedefine/>
    <w:semiHidden/>
    <w:unhideWhenUsed/>
    <w:qFormat/>
    <w:uiPriority w:val="99"/>
    <w:rPr>
      <w:sz w:val="21"/>
      <w:szCs w:val="21"/>
    </w:rPr>
  </w:style>
  <w:style w:type="paragraph" w:customStyle="1" w:styleId="20">
    <w:name w:val="样式 首行缩进:  2 字符"/>
    <w:basedOn w:val="1"/>
    <w:qFormat/>
    <w:uiPriority w:val="0"/>
    <w:pPr>
      <w:spacing w:line="360" w:lineRule="auto"/>
      <w:ind w:firstLine="480" w:firstLineChars="200"/>
    </w:pPr>
    <w:rPr>
      <w:rFonts w:ascii="Arial" w:hAnsi="Arial" w:cs="宋体"/>
      <w:sz w:val="28"/>
      <w:szCs w:val="28"/>
    </w:rPr>
  </w:style>
  <w:style w:type="character" w:customStyle="1" w:styleId="21">
    <w:name w:val="页眉 字符"/>
    <w:basedOn w:val="15"/>
    <w:link w:val="10"/>
    <w:autoRedefine/>
    <w:qFormat/>
    <w:uiPriority w:val="99"/>
    <w:rPr>
      <w:sz w:val="18"/>
      <w:szCs w:val="18"/>
    </w:rPr>
  </w:style>
  <w:style w:type="character" w:customStyle="1" w:styleId="22">
    <w:name w:val="页脚 字符"/>
    <w:basedOn w:val="15"/>
    <w:link w:val="9"/>
    <w:autoRedefine/>
    <w:qFormat/>
    <w:uiPriority w:val="99"/>
    <w:rPr>
      <w:sz w:val="18"/>
      <w:szCs w:val="18"/>
    </w:rPr>
  </w:style>
  <w:style w:type="character" w:customStyle="1" w:styleId="23">
    <w:name w:val="批注框文本 字符"/>
    <w:basedOn w:val="15"/>
    <w:link w:val="8"/>
    <w:autoRedefine/>
    <w:semiHidden/>
    <w:qFormat/>
    <w:uiPriority w:val="99"/>
    <w:rPr>
      <w:sz w:val="18"/>
      <w:szCs w:val="18"/>
    </w:rPr>
  </w:style>
  <w:style w:type="paragraph" w:styleId="24">
    <w:name w:val="List Paragraph"/>
    <w:basedOn w:val="1"/>
    <w:autoRedefine/>
    <w:qFormat/>
    <w:uiPriority w:val="34"/>
    <w:pPr>
      <w:ind w:firstLine="420" w:firstLineChars="200"/>
    </w:pPr>
    <w:rPr>
      <w:rFonts w:eastAsia="黑体"/>
      <w:bCs/>
      <w:sz w:val="30"/>
      <w:szCs w:val="30"/>
    </w:rPr>
  </w:style>
  <w:style w:type="paragraph" w:customStyle="1" w:styleId="25">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文字 字符"/>
    <w:basedOn w:val="15"/>
    <w:link w:val="5"/>
    <w:autoRedefine/>
    <w:qFormat/>
    <w:uiPriority w:val="99"/>
    <w:rPr>
      <w:rFonts w:asciiTheme="minorHAnsi" w:hAnsiTheme="minorHAnsi" w:eastAsiaTheme="minorEastAsia" w:cstheme="minorBidi"/>
      <w:kern w:val="2"/>
      <w:sz w:val="21"/>
      <w:szCs w:val="24"/>
    </w:rPr>
  </w:style>
  <w:style w:type="character" w:customStyle="1" w:styleId="27">
    <w:name w:val="批注主题 字符"/>
    <w:basedOn w:val="26"/>
    <w:link w:val="11"/>
    <w:autoRedefine/>
    <w:semiHidden/>
    <w:qFormat/>
    <w:uiPriority w:val="99"/>
    <w:rPr>
      <w:rFonts w:asciiTheme="minorHAnsi" w:hAnsiTheme="minorHAnsi" w:eastAsiaTheme="minorEastAsia" w:cstheme="minorBidi"/>
      <w:b/>
      <w:bCs/>
      <w:kern w:val="2"/>
      <w:sz w:val="21"/>
      <w:szCs w:val="24"/>
    </w:rPr>
  </w:style>
  <w:style w:type="character" w:customStyle="1" w:styleId="28">
    <w:name w:val="标题 1 字符"/>
    <w:basedOn w:val="15"/>
    <w:link w:val="2"/>
    <w:autoRedefine/>
    <w:qFormat/>
    <w:uiPriority w:val="9"/>
    <w:rPr>
      <w:rFonts w:asciiTheme="minorHAnsi" w:hAnsiTheme="minorHAnsi" w:eastAsiaTheme="minorEastAsia" w:cstheme="minorBidi"/>
      <w:b/>
      <w:bCs/>
      <w:kern w:val="44"/>
      <w:sz w:val="44"/>
      <w:szCs w:val="44"/>
    </w:rPr>
  </w:style>
  <w:style w:type="character" w:customStyle="1" w:styleId="29">
    <w:name w:val="未处理的提及1"/>
    <w:basedOn w:val="15"/>
    <w:autoRedefine/>
    <w:semiHidden/>
    <w:unhideWhenUsed/>
    <w:qFormat/>
    <w:uiPriority w:val="99"/>
    <w:rPr>
      <w:color w:val="605E5C"/>
      <w:shd w:val="clear" w:color="auto" w:fill="E1DFDD"/>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paragraph" w:customStyle="1" w:styleId="31">
    <w:name w:val="文档正文"/>
    <w:basedOn w:val="1"/>
    <w:qFormat/>
    <w:uiPriority w:val="0"/>
    <w:pPr>
      <w:adjustRightInd w:val="0"/>
      <w:spacing w:line="480" w:lineRule="atLeast"/>
      <w:ind w:firstLine="567"/>
      <w:textAlignment w:val="baseline"/>
    </w:pPr>
    <w:rPr>
      <w:rFonts w:ascii="宋体" w:hAnsi="宋体"/>
      <w:kern w:val="0"/>
      <w:sz w:val="24"/>
      <w:szCs w:val="20"/>
    </w:rPr>
  </w:style>
  <w:style w:type="paragraph" w:customStyle="1" w:styleId="32">
    <w:name w:val="*正文"/>
    <w:basedOn w:val="1"/>
    <w:next w:val="1"/>
    <w:qFormat/>
    <w:uiPriority w:val="0"/>
    <w:pPr>
      <w:snapToGrid w:val="0"/>
      <w:spacing w:before="100" w:beforeAutospacing="1" w:after="100" w:afterAutospacing="1" w:line="360" w:lineRule="auto"/>
      <w:ind w:right="23" w:firstLine="200" w:firstLineChars="200"/>
    </w:pPr>
    <w:rPr>
      <w:rFonts w:ascii="仿宋"/>
      <w:bCs/>
      <w:kern w:val="0"/>
      <w:sz w:val="24"/>
    </w:rPr>
  </w:style>
  <w:style w:type="paragraph" w:customStyle="1" w:styleId="33">
    <w:name w:val="Table Text"/>
    <w:basedOn w:val="1"/>
    <w:semiHidden/>
    <w:qFormat/>
    <w:uiPriority w:val="0"/>
    <w:rPr>
      <w:rFonts w:ascii="宋体" w:hAnsi="宋体" w:cs="宋体"/>
      <w:sz w:val="29"/>
      <w:szCs w:val="29"/>
      <w:lang w:eastAsia="en-US"/>
    </w:rPr>
  </w:style>
  <w:style w:type="character" w:customStyle="1" w:styleId="34">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SMET</Company>
  <Pages>11</Pages>
  <Words>4893</Words>
  <Characters>5070</Characters>
  <Lines>17</Lines>
  <Paragraphs>4</Paragraphs>
  <TotalTime>0</TotalTime>
  <ScaleCrop>false</ScaleCrop>
  <LinksUpToDate>false</LinksUpToDate>
  <CharactersWithSpaces>5088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River</dc:creator>
  <cp:lastModifiedBy>招标代理</cp:lastModifiedBy>
  <cp:lastPrinted>2021-08-04T06:09:00Z</cp:lastPrinted>
  <dcterms:modified xsi:type="dcterms:W3CDTF">2026-05-21T02:57:24Z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05870420E0F2486485DEE774465895A6_13</vt:lpwstr>
  </property>
  <property fmtid="{D5CDD505-2E9C-101B-9397-08002B2CF9AE}" pid="4" name="KSOTemplateDocerSaveRecord">
    <vt:lpwstr>eyJoZGlkIjoiNDhkMzNlODI4ZGVkMDg4M2I4MDQ1OGVlMzBlYWM3MGQiLCJ1c2VySWQiOiIzMzY2OTkyMDMifQ==</vt:lpwstr>
  </property>
</Properties>
</file>