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A50F3F">
      <w:pPr>
        <w:pStyle w:val="8"/>
        <w:jc w:val="center"/>
        <w:outlineLvl w:val="1"/>
        <w:rPr>
          <w:highlight w:val="none"/>
        </w:rPr>
      </w:pPr>
      <w:r>
        <w:rPr>
          <w:b/>
          <w:sz w:val="36"/>
          <w:highlight w:val="none"/>
        </w:rPr>
        <w:t>采购需求</w:t>
      </w:r>
      <w:bookmarkStart w:id="1" w:name="_GoBack"/>
      <w:bookmarkEnd w:id="1"/>
    </w:p>
    <w:p w14:paraId="2764E0B2">
      <w:pPr>
        <w:pStyle w:val="8"/>
        <w:outlineLvl w:val="2"/>
        <w:rPr>
          <w:highlight w:val="none"/>
        </w:rPr>
      </w:pPr>
      <w:r>
        <w:rPr>
          <w:b/>
          <w:sz w:val="28"/>
          <w:highlight w:val="none"/>
        </w:rPr>
        <w:t>一、项目概况：</w:t>
      </w:r>
    </w:p>
    <w:p w14:paraId="293F29DE">
      <w:pPr>
        <w:pStyle w:val="8"/>
        <w:ind w:firstLine="400" w:firstLineChars="200"/>
        <w:rPr>
          <w:highlight w:val="none"/>
        </w:rPr>
      </w:pPr>
      <w:r>
        <w:rPr>
          <w:rFonts w:hint="eastAsia"/>
          <w:highlight w:val="none"/>
        </w:rPr>
        <w:t>东莞市城市管理和综合执法局谢岗分局，由于近几年执法人员人手不足，为确保谢岗镇城市管理各项工作不脱节、不松懈，持续推进城市品质和人居环境提升，现面向社会以公开招标的方式选出一家外包服务单位为分局提供15名协勤人员协助开展社区治理工作</w:t>
      </w:r>
      <w:r>
        <w:rPr>
          <w:highlight w:val="none"/>
        </w:rPr>
        <w:t>。</w:t>
      </w:r>
    </w:p>
    <w:p w14:paraId="45D15269">
      <w:pPr>
        <w:pStyle w:val="8"/>
        <w:rPr>
          <w:highlight w:val="none"/>
        </w:rPr>
      </w:pPr>
      <w:r>
        <w:rPr>
          <w:highlight w:val="none"/>
        </w:rPr>
        <w:t>采购包1（</w:t>
      </w:r>
      <w:r>
        <w:rPr>
          <w:rFonts w:hint="eastAsia"/>
          <w:highlight w:val="none"/>
          <w:lang w:eastAsia="zh-CN"/>
        </w:rPr>
        <w:t>东莞市城市管理和综合执法局谢岗分局综合执法工作站协勤管理服务采购项目</w:t>
      </w:r>
      <w:r>
        <w:rPr>
          <w:highlight w:val="none"/>
        </w:rPr>
        <w:t>）</w:t>
      </w:r>
      <w:r>
        <w:rPr>
          <w:b/>
          <w:highlight w:val="none"/>
        </w:rPr>
        <w:t>1.主要商务要求</w:t>
      </w:r>
    </w:p>
    <w:tbl>
      <w:tblPr>
        <w:tblStyle w:val="5"/>
        <w:tblW w:w="4999"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931"/>
        <w:gridCol w:w="6589"/>
      </w:tblGrid>
      <w:tr w14:paraId="22F98E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33" w:type="pct"/>
            <w:noWrap w:val="0"/>
            <w:vAlign w:val="top"/>
          </w:tcPr>
          <w:p w14:paraId="4A00B377">
            <w:pPr>
              <w:pStyle w:val="8"/>
              <w:spacing w:line="240" w:lineRule="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标的提供的时间</w:t>
            </w:r>
          </w:p>
        </w:tc>
        <w:tc>
          <w:tcPr>
            <w:tcW w:w="3866" w:type="pct"/>
            <w:noWrap w:val="0"/>
            <w:vAlign w:val="top"/>
          </w:tcPr>
          <w:p w14:paraId="10EB6E7D">
            <w:pPr>
              <w:pStyle w:val="8"/>
              <w:spacing w:line="240" w:lineRule="auto"/>
              <w:rPr>
                <w:rFonts w:hint="eastAsia" w:asciiTheme="minorEastAsia" w:hAnsiTheme="minorEastAsia" w:eastAsiaTheme="minorEastAsia" w:cstheme="minorEastAsia"/>
                <w:sz w:val="20"/>
                <w:szCs w:val="20"/>
                <w:highlight w:val="none"/>
                <w:lang w:eastAsia="zh-CN"/>
              </w:rPr>
            </w:pPr>
            <w:r>
              <w:rPr>
                <w:rFonts w:hint="eastAsia" w:asciiTheme="minorEastAsia" w:hAnsiTheme="minorEastAsia" w:cstheme="minorEastAsia"/>
                <w:sz w:val="20"/>
                <w:szCs w:val="20"/>
                <w:highlight w:val="none"/>
                <w:lang w:eastAsia="zh-CN"/>
              </w:rPr>
              <w:t>自合同签订生效之日起至2028年5月31日</w:t>
            </w:r>
            <w:r>
              <w:rPr>
                <w:rFonts w:hint="eastAsia" w:asciiTheme="minorEastAsia" w:hAnsiTheme="minorEastAsia" w:eastAsiaTheme="minorEastAsia" w:cstheme="minorEastAsia"/>
                <w:sz w:val="20"/>
                <w:szCs w:val="20"/>
                <w:highlight w:val="none"/>
                <w:lang w:eastAsia="zh-CN"/>
              </w:rPr>
              <w:t>。</w:t>
            </w:r>
          </w:p>
        </w:tc>
      </w:tr>
      <w:tr w14:paraId="54B805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33" w:type="pct"/>
            <w:noWrap w:val="0"/>
            <w:vAlign w:val="top"/>
          </w:tcPr>
          <w:p w14:paraId="0AAF3139">
            <w:pPr>
              <w:pStyle w:val="8"/>
              <w:spacing w:line="240" w:lineRule="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标的提供的地点</w:t>
            </w:r>
          </w:p>
        </w:tc>
        <w:tc>
          <w:tcPr>
            <w:tcW w:w="3866" w:type="pct"/>
            <w:noWrap w:val="0"/>
            <w:vAlign w:val="top"/>
          </w:tcPr>
          <w:p w14:paraId="3F053D9D">
            <w:pPr>
              <w:pStyle w:val="8"/>
              <w:spacing w:line="240" w:lineRule="auto"/>
              <w:rPr>
                <w:rFonts w:hint="eastAsia" w:asciiTheme="minorEastAsia" w:hAnsiTheme="minorEastAsia" w:eastAsiaTheme="minorEastAsia" w:cstheme="minorEastAsia"/>
                <w:sz w:val="20"/>
                <w:szCs w:val="20"/>
                <w:highlight w:val="none"/>
                <w:lang w:eastAsia="zh-CN"/>
              </w:rPr>
            </w:pPr>
            <w:r>
              <w:rPr>
                <w:rFonts w:hint="eastAsia" w:asciiTheme="minorEastAsia" w:hAnsiTheme="minorEastAsia" w:eastAsiaTheme="minorEastAsia" w:cstheme="minorEastAsia"/>
                <w:sz w:val="20"/>
                <w:szCs w:val="20"/>
                <w:highlight w:val="none"/>
                <w:lang w:eastAsia="zh-CN"/>
              </w:rPr>
              <w:t>采购人指定地点（如有变化另行确定）。</w:t>
            </w:r>
          </w:p>
        </w:tc>
      </w:tr>
      <w:tr w14:paraId="20821D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33" w:type="pct"/>
            <w:noWrap w:val="0"/>
            <w:vAlign w:val="top"/>
          </w:tcPr>
          <w:p w14:paraId="24A94C53">
            <w:pPr>
              <w:pStyle w:val="8"/>
              <w:spacing w:line="240" w:lineRule="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付款方式</w:t>
            </w:r>
          </w:p>
        </w:tc>
        <w:tc>
          <w:tcPr>
            <w:tcW w:w="3866" w:type="pct"/>
            <w:noWrap w:val="0"/>
            <w:vAlign w:val="top"/>
          </w:tcPr>
          <w:p w14:paraId="249EE6B4">
            <w:pPr>
              <w:spacing w:line="240" w:lineRule="auto"/>
              <w:rPr>
                <w:rFonts w:hint="eastAsia" w:asciiTheme="minorEastAsia" w:hAnsiTheme="minorEastAsia" w:eastAsiaTheme="minorEastAsia" w:cstheme="minorEastAsia"/>
                <w:bCs w:val="0"/>
                <w:color w:val="auto"/>
                <w:sz w:val="20"/>
                <w:szCs w:val="20"/>
                <w:highlight w:val="none"/>
                <w:lang w:val="en-US" w:eastAsia="zh-CN"/>
              </w:rPr>
            </w:pPr>
            <w:r>
              <w:rPr>
                <w:rFonts w:hint="eastAsia" w:asciiTheme="minorEastAsia" w:hAnsiTheme="minorEastAsia" w:eastAsiaTheme="minorEastAsia" w:cstheme="minorEastAsia"/>
                <w:sz w:val="20"/>
                <w:szCs w:val="20"/>
                <w:highlight w:val="none"/>
              </w:rPr>
              <w:t>第1期：支付比例</w:t>
            </w:r>
            <w:r>
              <w:rPr>
                <w:rFonts w:hint="eastAsia" w:asciiTheme="minorEastAsia" w:hAnsiTheme="minorEastAsia" w:eastAsiaTheme="minorEastAsia" w:cstheme="minorEastAsia"/>
                <w:sz w:val="20"/>
                <w:szCs w:val="20"/>
                <w:highlight w:val="none"/>
                <w:lang w:val="en-US" w:eastAsia="zh-CN"/>
              </w:rPr>
              <w:t>100</w:t>
            </w:r>
            <w:r>
              <w:rPr>
                <w:rFonts w:hint="eastAsia" w:asciiTheme="minorEastAsia" w:hAnsiTheme="minorEastAsia" w:eastAsiaTheme="minorEastAsia" w:cstheme="minorEastAsia"/>
                <w:sz w:val="20"/>
                <w:szCs w:val="20"/>
                <w:highlight w:val="none"/>
              </w:rPr>
              <w:t>%，</w:t>
            </w:r>
            <w:r>
              <w:rPr>
                <w:rFonts w:hint="eastAsia" w:asciiTheme="minorEastAsia" w:hAnsiTheme="minorEastAsia" w:eastAsiaTheme="minorEastAsia" w:cstheme="minorEastAsia"/>
                <w:bCs w:val="0"/>
                <w:color w:val="auto"/>
                <w:sz w:val="20"/>
                <w:szCs w:val="20"/>
                <w:highlight w:val="none"/>
                <w:lang w:val="en-US" w:eastAsia="zh-CN"/>
              </w:rPr>
              <w:t>1、按月以转账形式支付费用。</w:t>
            </w:r>
            <w:r>
              <w:rPr>
                <w:rFonts w:hint="eastAsia" w:asciiTheme="minorEastAsia" w:hAnsiTheme="minorEastAsia" w:eastAsiaTheme="minorEastAsia" w:cstheme="minorEastAsia"/>
                <w:snapToGrid w:val="0"/>
                <w:color w:val="auto"/>
                <w:sz w:val="20"/>
                <w:szCs w:val="20"/>
                <w:highlight w:val="none"/>
                <w:lang w:val="en-US" w:eastAsia="zh-CN"/>
              </w:rPr>
              <w:t>经采购人考核，扣除该月违约金后，</w:t>
            </w:r>
            <w:r>
              <w:rPr>
                <w:rFonts w:hint="eastAsia" w:asciiTheme="minorEastAsia" w:hAnsiTheme="minorEastAsia" w:eastAsiaTheme="minorEastAsia" w:cstheme="minorEastAsia"/>
                <w:bCs w:val="0"/>
                <w:color w:val="auto"/>
                <w:sz w:val="20"/>
                <w:szCs w:val="20"/>
                <w:highlight w:val="none"/>
                <w:lang w:val="en-US" w:eastAsia="zh-CN"/>
              </w:rPr>
              <w:t>采购人根据中标人每月实际提供的到岗服务人数进行结算上个月的费用。</w:t>
            </w:r>
            <w:r>
              <w:rPr>
                <w:rFonts w:hint="eastAsia" w:asciiTheme="minorEastAsia" w:hAnsiTheme="minorEastAsia" w:eastAsiaTheme="minorEastAsia" w:cstheme="minorEastAsia"/>
                <w:snapToGrid w:val="0"/>
                <w:color w:val="auto"/>
                <w:sz w:val="20"/>
                <w:szCs w:val="20"/>
                <w:highlight w:val="none"/>
                <w:lang w:val="en-US" w:eastAsia="zh-CN"/>
              </w:rPr>
              <w:t>采购人</w:t>
            </w:r>
            <w:r>
              <w:rPr>
                <w:rFonts w:hint="eastAsia" w:asciiTheme="minorEastAsia" w:hAnsiTheme="minorEastAsia" w:eastAsiaTheme="minorEastAsia" w:cstheme="minorEastAsia"/>
                <w:snapToGrid w:val="0"/>
                <w:color w:val="auto"/>
                <w:sz w:val="20"/>
                <w:szCs w:val="20"/>
                <w:highlight w:val="none"/>
                <w:lang w:eastAsia="zh-CN"/>
              </w:rPr>
              <w:t>除支付上述服务费用外，无须向中标人及其协勤人员支付任何其他费用。采购人不负责协勤人员的食宿。</w:t>
            </w:r>
          </w:p>
          <w:p w14:paraId="7EA5EBDF">
            <w:pPr>
              <w:spacing w:line="240" w:lineRule="auto"/>
              <w:rPr>
                <w:rFonts w:hint="eastAsia" w:asciiTheme="minorEastAsia" w:hAnsiTheme="minorEastAsia" w:eastAsiaTheme="minorEastAsia" w:cstheme="minorEastAsia"/>
                <w:bCs w:val="0"/>
                <w:color w:val="auto"/>
                <w:sz w:val="20"/>
                <w:szCs w:val="20"/>
                <w:highlight w:val="none"/>
                <w:lang w:val="en-US" w:eastAsia="zh-CN"/>
              </w:rPr>
            </w:pPr>
            <w:r>
              <w:rPr>
                <w:rFonts w:hint="eastAsia" w:asciiTheme="minorEastAsia" w:hAnsiTheme="minorEastAsia" w:eastAsiaTheme="minorEastAsia" w:cstheme="minorEastAsia"/>
                <w:bCs w:val="0"/>
                <w:color w:val="auto"/>
                <w:sz w:val="20"/>
                <w:szCs w:val="20"/>
                <w:highlight w:val="none"/>
                <w:lang w:val="en-US" w:eastAsia="zh-CN"/>
              </w:rPr>
              <w:t>2、中标人须在采购人支付款项前，提供等额的正式发票给采购人，以便采购人及时办理手续。</w:t>
            </w:r>
          </w:p>
          <w:p w14:paraId="063D9948">
            <w:pPr>
              <w:pStyle w:val="8"/>
              <w:spacing w:line="240" w:lineRule="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bCs w:val="0"/>
                <w:color w:val="auto"/>
                <w:sz w:val="20"/>
                <w:szCs w:val="20"/>
                <w:highlight w:val="none"/>
                <w:lang w:val="en-US" w:eastAsia="zh-CN"/>
              </w:rPr>
              <w:t>3、本项目合同的经费由政府拨款，如因政策影响，拨款未能及时到位，中标人不得以此为由而不履行本合同规定的义务。否则，采购人按规定扣取罚款。</w:t>
            </w:r>
          </w:p>
        </w:tc>
      </w:tr>
      <w:tr w14:paraId="7FF1E6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33" w:type="pct"/>
            <w:noWrap w:val="0"/>
            <w:vAlign w:val="top"/>
          </w:tcPr>
          <w:p w14:paraId="7D47E2BC">
            <w:pPr>
              <w:pStyle w:val="8"/>
              <w:spacing w:line="240" w:lineRule="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验收要求</w:t>
            </w:r>
          </w:p>
        </w:tc>
        <w:tc>
          <w:tcPr>
            <w:tcW w:w="3866" w:type="pct"/>
            <w:noWrap w:val="0"/>
            <w:vAlign w:val="top"/>
          </w:tcPr>
          <w:p w14:paraId="39E9C7B5">
            <w:pPr>
              <w:pStyle w:val="8"/>
              <w:spacing w:line="240" w:lineRule="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1期：验收应在采购人和中标人共同参加下进行，</w:t>
            </w:r>
            <w:r>
              <w:rPr>
                <w:rFonts w:hint="eastAsia" w:asciiTheme="minorEastAsia" w:hAnsiTheme="minorEastAsia" w:eastAsiaTheme="minorEastAsia" w:cstheme="minorEastAsia"/>
                <w:color w:val="auto"/>
                <w:sz w:val="20"/>
                <w:szCs w:val="20"/>
                <w:highlight w:val="none"/>
                <w:lang w:eastAsia="zh-CN"/>
              </w:rPr>
              <w:t>按采购需求及中标人服务情况进行考核。</w:t>
            </w:r>
          </w:p>
        </w:tc>
      </w:tr>
      <w:tr w14:paraId="684605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33" w:type="pct"/>
            <w:noWrap w:val="0"/>
            <w:vAlign w:val="top"/>
          </w:tcPr>
          <w:p w14:paraId="5E4F1CCC">
            <w:pPr>
              <w:pStyle w:val="8"/>
              <w:spacing w:line="240" w:lineRule="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履约保证金</w:t>
            </w:r>
          </w:p>
        </w:tc>
        <w:tc>
          <w:tcPr>
            <w:tcW w:w="3866" w:type="pct"/>
            <w:noWrap w:val="0"/>
            <w:vAlign w:val="top"/>
          </w:tcPr>
          <w:p w14:paraId="544C3D43">
            <w:pPr>
              <w:spacing w:line="240" w:lineRule="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收取比例：5%,说明：本项目需要提交履约保证金，中标人按项目中标金额的5%缴纳，履约保证金需以履约保函（保险）形式提供。</w:t>
            </w:r>
          </w:p>
          <w:p w14:paraId="1B6945EA">
            <w:pPr>
              <w:pStyle w:val="8"/>
              <w:spacing w:line="240" w:lineRule="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履约保证金可以以履约保函（保险）形式提供，目前"广东政府采购智慧云平台金融服务中心(https://gdgpo.czt.gd.gov.cn/zcdservice/zcd/guangdong/)已实现电子履约保函（保险）在线办理功能，有意愿供应商可自行办理提供</w:t>
            </w:r>
            <w:r>
              <w:rPr>
                <w:rFonts w:hint="eastAsia" w:asciiTheme="minorEastAsia" w:hAnsiTheme="minorEastAsia" w:eastAsiaTheme="minorEastAsia" w:cstheme="minorEastAsia"/>
                <w:bCs w:val="0"/>
                <w:color w:val="auto"/>
                <w:sz w:val="20"/>
                <w:szCs w:val="20"/>
                <w:highlight w:val="none"/>
                <w:lang w:val="en-US" w:eastAsia="zh-CN"/>
              </w:rPr>
              <w:t>。</w:t>
            </w:r>
          </w:p>
        </w:tc>
      </w:tr>
      <w:tr w14:paraId="043B39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33" w:type="pct"/>
            <w:noWrap w:val="0"/>
            <w:vAlign w:val="top"/>
          </w:tcPr>
          <w:p w14:paraId="24D060AB">
            <w:pPr>
              <w:pStyle w:val="8"/>
              <w:spacing w:line="240" w:lineRule="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其他</w:t>
            </w:r>
          </w:p>
        </w:tc>
        <w:tc>
          <w:tcPr>
            <w:tcW w:w="3866" w:type="pct"/>
            <w:noWrap w:val="0"/>
            <w:vAlign w:val="top"/>
          </w:tcPr>
          <w:p w14:paraId="153847D5">
            <w:pPr>
              <w:pStyle w:val="8"/>
              <w:spacing w:line="240" w:lineRule="auto"/>
              <w:rPr>
                <w:rFonts w:hint="eastAsia" w:asciiTheme="minorEastAsia" w:hAnsiTheme="minorEastAsia" w:eastAsiaTheme="minorEastAsia" w:cstheme="minorEastAsia"/>
                <w:snapToGrid w:val="0"/>
                <w:color w:val="auto"/>
                <w:sz w:val="20"/>
                <w:szCs w:val="20"/>
                <w:highlight w:val="none"/>
                <w:lang w:eastAsia="zh-CN"/>
              </w:rPr>
            </w:pPr>
            <w:r>
              <w:rPr>
                <w:rFonts w:hint="eastAsia" w:asciiTheme="minorEastAsia" w:hAnsiTheme="minorEastAsia" w:eastAsiaTheme="minorEastAsia" w:cstheme="minorEastAsia"/>
                <w:snapToGrid w:val="0"/>
                <w:color w:val="auto"/>
                <w:sz w:val="20"/>
                <w:szCs w:val="20"/>
                <w:highlight w:val="none"/>
                <w:lang w:eastAsia="zh-CN"/>
              </w:rPr>
              <w:t>报价</w:t>
            </w:r>
            <w:r>
              <w:rPr>
                <w:rFonts w:hint="eastAsia" w:asciiTheme="minorEastAsia" w:hAnsiTheme="minorEastAsia" w:eastAsiaTheme="minorEastAsia" w:cstheme="minorEastAsia"/>
                <w:snapToGrid w:val="0"/>
                <w:color w:val="auto"/>
                <w:sz w:val="20"/>
                <w:szCs w:val="20"/>
                <w:highlight w:val="none"/>
                <w:lang w:val="en-US" w:eastAsia="zh-CN"/>
              </w:rPr>
              <w:t>要求</w:t>
            </w:r>
          </w:p>
          <w:p w14:paraId="2CA52C82">
            <w:pPr>
              <w:widowControl/>
              <w:numPr>
                <w:ilvl w:val="0"/>
                <w:numId w:val="0"/>
              </w:numPr>
              <w:adjustRightInd/>
              <w:snapToGrid/>
              <w:spacing w:beforeLines="0" w:afterLines="0" w:line="240" w:lineRule="auto"/>
              <w:rPr>
                <w:rFonts w:hint="eastAsia" w:asciiTheme="minorEastAsia" w:hAnsiTheme="minorEastAsia" w:eastAsiaTheme="minorEastAsia" w:cstheme="minorEastAsia"/>
                <w:snapToGrid w:val="0"/>
                <w:color w:val="auto"/>
                <w:sz w:val="20"/>
                <w:szCs w:val="20"/>
                <w:highlight w:val="none"/>
                <w:lang w:eastAsia="zh-CN"/>
              </w:rPr>
            </w:pPr>
            <w:r>
              <w:rPr>
                <w:rFonts w:hint="eastAsia" w:asciiTheme="minorEastAsia" w:hAnsiTheme="minorEastAsia" w:eastAsiaTheme="minorEastAsia" w:cstheme="minorEastAsia"/>
                <w:snapToGrid/>
                <w:color w:val="auto"/>
                <w:sz w:val="20"/>
                <w:szCs w:val="20"/>
                <w:highlight w:val="none"/>
                <w:lang w:val="en-US" w:eastAsia="zh-CN"/>
              </w:rPr>
              <w:t>1、</w:t>
            </w:r>
            <w:r>
              <w:rPr>
                <w:rFonts w:hint="eastAsia" w:asciiTheme="minorEastAsia" w:hAnsiTheme="minorEastAsia" w:eastAsiaTheme="minorEastAsia" w:cstheme="minorEastAsia"/>
                <w:color w:val="auto"/>
                <w:kern w:val="0"/>
                <w:sz w:val="20"/>
                <w:szCs w:val="20"/>
                <w:highlight w:val="none"/>
                <w:lang w:val="en-US" w:eastAsia="zh-CN" w:bidi="ar"/>
              </w:rPr>
              <w:t>本项目采用总价报价形式。投标报价应包含完成本次招标所有服务内容的费用，包括但不限于人员基本工资、社会保险费、人身意外保险、福利</w:t>
            </w:r>
            <w:r>
              <w:rPr>
                <w:rFonts w:hint="eastAsia" w:asciiTheme="minorEastAsia" w:hAnsiTheme="minorEastAsia" w:eastAsiaTheme="minorEastAsia" w:cstheme="minorEastAsia"/>
                <w:snapToGrid w:val="0"/>
                <w:color w:val="auto"/>
                <w:sz w:val="20"/>
                <w:szCs w:val="20"/>
                <w:highlight w:val="none"/>
                <w:lang w:eastAsia="zh-CN"/>
              </w:rPr>
              <w:t>、</w:t>
            </w:r>
            <w:r>
              <w:rPr>
                <w:rFonts w:hint="eastAsia" w:asciiTheme="minorEastAsia" w:hAnsiTheme="minorEastAsia" w:eastAsiaTheme="minorEastAsia" w:cstheme="minorEastAsia"/>
                <w:snapToGrid w:val="0"/>
                <w:color w:val="auto"/>
                <w:sz w:val="20"/>
                <w:szCs w:val="20"/>
                <w:highlight w:val="none"/>
                <w:lang w:eastAsia="zh-CN"/>
              </w:rPr>
              <w:t>食宿费用</w:t>
            </w:r>
            <w:r>
              <w:rPr>
                <w:rFonts w:hint="eastAsia" w:asciiTheme="minorEastAsia" w:hAnsiTheme="minorEastAsia" w:eastAsiaTheme="minorEastAsia" w:cstheme="minorEastAsia"/>
                <w:snapToGrid w:val="0"/>
                <w:color w:val="auto"/>
                <w:sz w:val="20"/>
                <w:szCs w:val="20"/>
                <w:highlight w:val="none"/>
                <w:lang w:eastAsia="zh-CN"/>
              </w:rPr>
              <w:t>、中标人办公费用、购置、维修保养各类工具的费用，非因采购人原因导致的各类事故的经济损失及赔偿费用，各类税费以及</w:t>
            </w:r>
            <w:r>
              <w:rPr>
                <w:rFonts w:hint="eastAsia" w:asciiTheme="minorEastAsia" w:hAnsiTheme="minorEastAsia" w:eastAsiaTheme="minorEastAsia" w:cstheme="minorEastAsia"/>
                <w:snapToGrid w:val="0"/>
                <w:color w:val="auto"/>
                <w:sz w:val="20"/>
                <w:szCs w:val="20"/>
                <w:highlight w:val="none"/>
                <w:lang w:val="en-US" w:eastAsia="zh-CN"/>
              </w:rPr>
              <w:t>合同</w:t>
            </w:r>
            <w:r>
              <w:rPr>
                <w:rFonts w:hint="eastAsia" w:asciiTheme="minorEastAsia" w:hAnsiTheme="minorEastAsia" w:eastAsiaTheme="minorEastAsia" w:cstheme="minorEastAsia"/>
                <w:snapToGrid w:val="0"/>
                <w:color w:val="auto"/>
                <w:sz w:val="20"/>
                <w:szCs w:val="20"/>
                <w:highlight w:val="none"/>
                <w:lang w:eastAsia="zh-CN"/>
              </w:rPr>
              <w:t>实施过程中预见及不可预见的</w:t>
            </w:r>
            <w:r>
              <w:rPr>
                <w:rFonts w:hint="eastAsia" w:asciiTheme="minorEastAsia" w:hAnsiTheme="minorEastAsia" w:eastAsiaTheme="minorEastAsia" w:cstheme="minorEastAsia"/>
                <w:snapToGrid w:val="0"/>
                <w:color w:val="auto"/>
                <w:sz w:val="20"/>
                <w:szCs w:val="20"/>
                <w:highlight w:val="none"/>
                <w:lang w:val="en-US" w:eastAsia="zh-CN"/>
              </w:rPr>
              <w:t>全部</w:t>
            </w:r>
            <w:r>
              <w:rPr>
                <w:rFonts w:hint="eastAsia" w:asciiTheme="minorEastAsia" w:hAnsiTheme="minorEastAsia" w:eastAsiaTheme="minorEastAsia" w:cstheme="minorEastAsia"/>
                <w:snapToGrid w:val="0"/>
                <w:color w:val="auto"/>
                <w:sz w:val="20"/>
                <w:szCs w:val="20"/>
                <w:highlight w:val="none"/>
                <w:lang w:eastAsia="zh-CN"/>
              </w:rPr>
              <w:t>费用</w:t>
            </w:r>
            <w:r>
              <w:rPr>
                <w:rFonts w:hint="eastAsia" w:asciiTheme="minorEastAsia" w:hAnsiTheme="minorEastAsia" w:eastAsiaTheme="minorEastAsia" w:cstheme="minorEastAsia"/>
                <w:color w:val="auto"/>
                <w:kern w:val="0"/>
                <w:sz w:val="20"/>
                <w:szCs w:val="20"/>
                <w:highlight w:val="none"/>
                <w:lang w:val="en-US" w:eastAsia="zh-CN" w:bidi="ar"/>
              </w:rPr>
              <w:t>(含招标文件所要求的必要的辅助材料费用)</w:t>
            </w:r>
            <w:r>
              <w:rPr>
                <w:rFonts w:hint="eastAsia" w:asciiTheme="minorEastAsia" w:hAnsiTheme="minorEastAsia" w:eastAsiaTheme="minorEastAsia" w:cstheme="minorEastAsia"/>
                <w:snapToGrid w:val="0"/>
                <w:color w:val="auto"/>
                <w:sz w:val="20"/>
                <w:szCs w:val="20"/>
                <w:highlight w:val="none"/>
                <w:lang w:eastAsia="zh-CN"/>
              </w:rPr>
              <w:t>；</w:t>
            </w:r>
          </w:p>
          <w:p w14:paraId="196155F8">
            <w:pPr>
              <w:pStyle w:val="8"/>
              <w:spacing w:line="240" w:lineRule="auto"/>
              <w:rPr>
                <w:rFonts w:hint="eastAsia" w:asciiTheme="minorEastAsia" w:hAnsiTheme="minorEastAsia" w:eastAsiaTheme="minorEastAsia" w:cstheme="minorEastAsia"/>
                <w:snapToGrid w:val="0"/>
                <w:color w:val="auto"/>
                <w:sz w:val="20"/>
                <w:szCs w:val="20"/>
                <w:highlight w:val="none"/>
                <w:lang w:eastAsia="zh-CN"/>
              </w:rPr>
            </w:pPr>
            <w:r>
              <w:rPr>
                <w:rFonts w:hint="eastAsia" w:asciiTheme="minorEastAsia" w:hAnsiTheme="minorEastAsia" w:eastAsiaTheme="minorEastAsia" w:cstheme="minorEastAsia"/>
                <w:snapToGrid w:val="0"/>
                <w:color w:val="auto"/>
                <w:sz w:val="20"/>
                <w:szCs w:val="20"/>
                <w:highlight w:val="none"/>
                <w:lang w:val="en-US" w:eastAsia="zh-CN"/>
              </w:rPr>
              <w:t>2、</w:t>
            </w:r>
            <w:r>
              <w:rPr>
                <w:rFonts w:hint="eastAsia" w:asciiTheme="minorEastAsia" w:hAnsiTheme="minorEastAsia" w:eastAsiaTheme="minorEastAsia" w:cstheme="minorEastAsia"/>
                <w:snapToGrid w:val="0"/>
                <w:color w:val="auto"/>
                <w:sz w:val="20"/>
                <w:szCs w:val="20"/>
                <w:highlight w:val="none"/>
                <w:lang w:eastAsia="zh-CN"/>
              </w:rPr>
              <w:t>本项目</w:t>
            </w:r>
            <w:r>
              <w:rPr>
                <w:rFonts w:hint="eastAsia" w:asciiTheme="minorEastAsia" w:hAnsiTheme="minorEastAsia" w:eastAsiaTheme="minorEastAsia" w:cstheme="minorEastAsia"/>
                <w:snapToGrid w:val="0"/>
                <w:color w:val="auto"/>
                <w:sz w:val="20"/>
                <w:szCs w:val="20"/>
                <w:highlight w:val="none"/>
                <w:lang w:val="en-US" w:eastAsia="zh-CN"/>
              </w:rPr>
              <w:t>的报价</w:t>
            </w:r>
            <w:r>
              <w:rPr>
                <w:rFonts w:hint="eastAsia" w:asciiTheme="minorEastAsia" w:hAnsiTheme="minorEastAsia" w:eastAsiaTheme="minorEastAsia" w:cstheme="minorEastAsia"/>
                <w:snapToGrid w:val="0"/>
                <w:color w:val="auto"/>
                <w:sz w:val="20"/>
                <w:szCs w:val="20"/>
                <w:highlight w:val="none"/>
                <w:lang w:eastAsia="zh-CN"/>
              </w:rPr>
              <w:t>以人民币</w:t>
            </w:r>
            <w:r>
              <w:rPr>
                <w:rFonts w:hint="eastAsia" w:asciiTheme="minorEastAsia" w:hAnsiTheme="minorEastAsia" w:eastAsiaTheme="minorEastAsia" w:cstheme="minorEastAsia"/>
                <w:snapToGrid w:val="0"/>
                <w:color w:val="auto"/>
                <w:sz w:val="20"/>
                <w:szCs w:val="20"/>
                <w:highlight w:val="none"/>
                <w:lang w:val="en-US" w:eastAsia="zh-CN"/>
              </w:rPr>
              <w:t>为货币单位。</w:t>
            </w:r>
          </w:p>
        </w:tc>
      </w:tr>
    </w:tbl>
    <w:p w14:paraId="0985D41C">
      <w:pPr>
        <w:pStyle w:val="8"/>
        <w:rPr>
          <w:highlight w:val="none"/>
        </w:rPr>
      </w:pPr>
      <w:r>
        <w:rPr>
          <w:b/>
          <w:highlight w:val="none"/>
        </w:rPr>
        <w:t>2.技术标准与要求</w:t>
      </w:r>
    </w:p>
    <w:tbl>
      <w:tblPr>
        <w:tblStyle w:val="5"/>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29"/>
        <w:gridCol w:w="701"/>
        <w:gridCol w:w="1462"/>
        <w:gridCol w:w="688"/>
        <w:gridCol w:w="647"/>
        <w:gridCol w:w="1416"/>
        <w:gridCol w:w="1416"/>
        <w:gridCol w:w="746"/>
        <w:gridCol w:w="817"/>
      </w:tblGrid>
      <w:tr w14:paraId="2949C1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 w:type="pct"/>
          </w:tcPr>
          <w:p w14:paraId="67C78A33">
            <w:pPr>
              <w:pStyle w:val="8"/>
              <w:jc w:val="center"/>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序号</w:t>
            </w:r>
          </w:p>
        </w:tc>
        <w:tc>
          <w:tcPr>
            <w:tcW w:w="411" w:type="pct"/>
          </w:tcPr>
          <w:p w14:paraId="03290E98">
            <w:pPr>
              <w:pStyle w:val="8"/>
              <w:jc w:val="center"/>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品目名称</w:t>
            </w:r>
          </w:p>
        </w:tc>
        <w:tc>
          <w:tcPr>
            <w:tcW w:w="857" w:type="pct"/>
          </w:tcPr>
          <w:p w14:paraId="433DF8D9">
            <w:pPr>
              <w:pStyle w:val="8"/>
              <w:spacing w:line="240" w:lineRule="auto"/>
              <w:jc w:val="center"/>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标的名称</w:t>
            </w:r>
          </w:p>
        </w:tc>
        <w:tc>
          <w:tcPr>
            <w:tcW w:w="403" w:type="pct"/>
          </w:tcPr>
          <w:p w14:paraId="3B78FB5C">
            <w:pPr>
              <w:pStyle w:val="8"/>
              <w:jc w:val="center"/>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单位</w:t>
            </w:r>
          </w:p>
        </w:tc>
        <w:tc>
          <w:tcPr>
            <w:tcW w:w="379" w:type="pct"/>
          </w:tcPr>
          <w:p w14:paraId="21C4C152">
            <w:pPr>
              <w:pStyle w:val="8"/>
              <w:jc w:val="center"/>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数量</w:t>
            </w:r>
          </w:p>
        </w:tc>
        <w:tc>
          <w:tcPr>
            <w:tcW w:w="830" w:type="pct"/>
          </w:tcPr>
          <w:p w14:paraId="3C0E95F7">
            <w:pPr>
              <w:pStyle w:val="8"/>
              <w:jc w:val="center"/>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分项预算单价（元）</w:t>
            </w:r>
          </w:p>
        </w:tc>
        <w:tc>
          <w:tcPr>
            <w:tcW w:w="830" w:type="pct"/>
          </w:tcPr>
          <w:p w14:paraId="7099117F">
            <w:pPr>
              <w:pStyle w:val="8"/>
              <w:jc w:val="center"/>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分项预算总价（元）</w:t>
            </w:r>
          </w:p>
        </w:tc>
        <w:tc>
          <w:tcPr>
            <w:tcW w:w="437" w:type="pct"/>
          </w:tcPr>
          <w:p w14:paraId="2B56EE51">
            <w:pPr>
              <w:pStyle w:val="8"/>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所属行业</w:t>
            </w:r>
          </w:p>
        </w:tc>
        <w:tc>
          <w:tcPr>
            <w:tcW w:w="479" w:type="pct"/>
          </w:tcPr>
          <w:p w14:paraId="35A1FC53">
            <w:pPr>
              <w:pStyle w:val="8"/>
              <w:jc w:val="center"/>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技术要求</w:t>
            </w:r>
          </w:p>
        </w:tc>
      </w:tr>
      <w:tr w14:paraId="05ED0D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369" w:type="pct"/>
          </w:tcPr>
          <w:p w14:paraId="03B8B2D8">
            <w:pPr>
              <w:pStyle w:val="8"/>
              <w:jc w:val="center"/>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1</w:t>
            </w:r>
          </w:p>
        </w:tc>
        <w:tc>
          <w:tcPr>
            <w:tcW w:w="411" w:type="pct"/>
            <w:vAlign w:val="top"/>
          </w:tcPr>
          <w:p w14:paraId="32BC243B">
            <w:pPr>
              <w:pStyle w:val="8"/>
              <w:jc w:val="left"/>
              <w:rPr>
                <w:rFonts w:hint="eastAsia" w:asciiTheme="minorEastAsia" w:hAnsiTheme="minorEastAsia" w:eastAsiaTheme="minorEastAsia" w:cstheme="minorEastAsia"/>
                <w:sz w:val="20"/>
                <w:szCs w:val="20"/>
                <w:highlight w:val="none"/>
              </w:rPr>
            </w:pPr>
            <w:r>
              <w:rPr>
                <w:rFonts w:hint="eastAsia" w:asciiTheme="minorEastAsia" w:hAnsiTheme="minorEastAsia" w:cstheme="minorEastAsia"/>
                <w:sz w:val="20"/>
                <w:szCs w:val="20"/>
                <w:highlight w:val="none"/>
                <w:lang w:eastAsia="zh-CN"/>
              </w:rPr>
              <w:t>其他服务</w:t>
            </w:r>
          </w:p>
        </w:tc>
        <w:tc>
          <w:tcPr>
            <w:tcW w:w="857" w:type="pct"/>
            <w:vAlign w:val="top"/>
          </w:tcPr>
          <w:p w14:paraId="3B1C4C2A">
            <w:pPr>
              <w:pStyle w:val="8"/>
              <w:jc w:val="left"/>
              <w:rPr>
                <w:rFonts w:hint="eastAsia" w:asciiTheme="minorEastAsia" w:hAnsiTheme="minorEastAsia" w:eastAsiaTheme="minorEastAsia" w:cstheme="minorEastAsia"/>
                <w:sz w:val="20"/>
                <w:szCs w:val="20"/>
                <w:highlight w:val="none"/>
                <w:lang w:eastAsia="zh-CN"/>
              </w:rPr>
            </w:pPr>
            <w:r>
              <w:rPr>
                <w:rFonts w:hint="eastAsia" w:asciiTheme="minorEastAsia" w:hAnsiTheme="minorEastAsia" w:cstheme="minorEastAsia"/>
                <w:sz w:val="20"/>
                <w:szCs w:val="20"/>
                <w:highlight w:val="none"/>
                <w:lang w:eastAsia="zh-CN"/>
              </w:rPr>
              <w:t>东莞市城市管理和综合执法局谢岗分局综合执法工作站协勤管理服务采购项目</w:t>
            </w:r>
          </w:p>
        </w:tc>
        <w:tc>
          <w:tcPr>
            <w:tcW w:w="403" w:type="pct"/>
            <w:vAlign w:val="top"/>
          </w:tcPr>
          <w:p w14:paraId="052684E9">
            <w:pPr>
              <w:pStyle w:val="8"/>
              <w:jc w:val="center"/>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项</w:t>
            </w:r>
          </w:p>
        </w:tc>
        <w:tc>
          <w:tcPr>
            <w:tcW w:w="379" w:type="pct"/>
            <w:vAlign w:val="top"/>
          </w:tcPr>
          <w:p w14:paraId="17943A0D">
            <w:pPr>
              <w:pStyle w:val="8"/>
              <w:jc w:val="right"/>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1.00</w:t>
            </w:r>
          </w:p>
        </w:tc>
        <w:tc>
          <w:tcPr>
            <w:tcW w:w="830" w:type="pct"/>
          </w:tcPr>
          <w:p w14:paraId="111A52E4">
            <w:pPr>
              <w:pStyle w:val="8"/>
              <w:jc w:val="right"/>
              <w:rPr>
                <w:rFonts w:hint="eastAsia" w:asciiTheme="minorEastAsia" w:hAnsiTheme="minorEastAsia" w:eastAsiaTheme="minorEastAsia" w:cstheme="minorEastAsia"/>
                <w:sz w:val="20"/>
                <w:szCs w:val="20"/>
                <w:highlight w:val="none"/>
                <w:lang w:eastAsia="zh-CN"/>
              </w:rPr>
            </w:pPr>
            <w:r>
              <w:rPr>
                <w:rFonts w:hint="eastAsia" w:asciiTheme="minorEastAsia" w:hAnsiTheme="minorEastAsia" w:cstheme="minorEastAsia"/>
                <w:sz w:val="20"/>
                <w:szCs w:val="20"/>
                <w:highlight w:val="none"/>
                <w:lang w:eastAsia="zh-CN"/>
              </w:rPr>
              <w:t>1,620,000.00</w:t>
            </w:r>
          </w:p>
        </w:tc>
        <w:tc>
          <w:tcPr>
            <w:tcW w:w="830" w:type="pct"/>
          </w:tcPr>
          <w:p w14:paraId="0F91BF20">
            <w:pPr>
              <w:pStyle w:val="8"/>
              <w:jc w:val="right"/>
              <w:rPr>
                <w:rFonts w:hint="eastAsia" w:asciiTheme="minorEastAsia" w:hAnsiTheme="minorEastAsia" w:eastAsiaTheme="minorEastAsia" w:cstheme="minorEastAsia"/>
                <w:sz w:val="20"/>
                <w:szCs w:val="20"/>
                <w:highlight w:val="none"/>
                <w:lang w:eastAsia="zh-CN"/>
              </w:rPr>
            </w:pPr>
            <w:r>
              <w:rPr>
                <w:rFonts w:hint="eastAsia" w:asciiTheme="minorEastAsia" w:hAnsiTheme="minorEastAsia" w:cstheme="minorEastAsia"/>
                <w:sz w:val="20"/>
                <w:szCs w:val="20"/>
                <w:highlight w:val="none"/>
                <w:lang w:eastAsia="zh-CN"/>
              </w:rPr>
              <w:t>1,620,000.00</w:t>
            </w:r>
          </w:p>
        </w:tc>
        <w:tc>
          <w:tcPr>
            <w:tcW w:w="437" w:type="pct"/>
            <w:vAlign w:val="top"/>
          </w:tcPr>
          <w:p w14:paraId="4D39DE16">
            <w:pPr>
              <w:pStyle w:val="8"/>
              <w:rPr>
                <w:rFonts w:hint="eastAsia" w:asciiTheme="minorEastAsia" w:hAnsiTheme="minorEastAsia" w:eastAsiaTheme="minorEastAsia" w:cstheme="minorEastAsia"/>
                <w:sz w:val="20"/>
                <w:szCs w:val="20"/>
                <w:highlight w:val="none"/>
              </w:rPr>
            </w:pPr>
            <w:r>
              <w:rPr>
                <w:rFonts w:hint="eastAsia" w:asciiTheme="minorEastAsia" w:hAnsiTheme="minorEastAsia" w:cstheme="minorEastAsia"/>
                <w:sz w:val="20"/>
                <w:szCs w:val="20"/>
                <w:highlight w:val="none"/>
                <w:lang w:eastAsia="zh-CN"/>
              </w:rPr>
              <w:t>其他未列明</w:t>
            </w:r>
          </w:p>
        </w:tc>
        <w:tc>
          <w:tcPr>
            <w:tcW w:w="479" w:type="pct"/>
            <w:vAlign w:val="top"/>
          </w:tcPr>
          <w:p w14:paraId="4A5A7FD7">
            <w:pPr>
              <w:pStyle w:val="8"/>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详见附表一</w:t>
            </w:r>
          </w:p>
        </w:tc>
      </w:tr>
    </w:tbl>
    <w:p w14:paraId="076992FA">
      <w:pPr>
        <w:pStyle w:val="8"/>
        <w:rPr>
          <w:rFonts w:hint="eastAsia"/>
          <w:b/>
          <w:highlight w:val="none"/>
          <w:lang w:eastAsia="zh-CN"/>
        </w:rPr>
      </w:pPr>
      <w:r>
        <w:rPr>
          <w:b/>
          <w:highlight w:val="none"/>
        </w:rPr>
        <w:t>附表一：</w:t>
      </w:r>
      <w:r>
        <w:rPr>
          <w:rFonts w:hint="eastAsia"/>
          <w:b/>
          <w:highlight w:val="none"/>
          <w:lang w:eastAsia="zh-CN"/>
        </w:rPr>
        <w:t>东莞市城市管理和综合执法局谢岗分局综合执法工作站协勤管理服务采购项目</w:t>
      </w:r>
    </w:p>
    <w:tbl>
      <w:tblPr>
        <w:tblStyle w:val="5"/>
        <w:tblW w:w="4997"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14"/>
        <w:gridCol w:w="532"/>
        <w:gridCol w:w="7371"/>
      </w:tblGrid>
      <w:tr w14:paraId="0F7B6C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1" w:type="pct"/>
            <w:noWrap w:val="0"/>
            <w:vAlign w:val="top"/>
          </w:tcPr>
          <w:p w14:paraId="0517AAB1">
            <w:pPr>
              <w:pStyle w:val="8"/>
              <w:keepNext w:val="0"/>
              <w:keepLines w:val="0"/>
              <w:pageBreakBefore w:val="0"/>
              <w:kinsoku/>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参数性质</w:t>
            </w:r>
          </w:p>
        </w:tc>
        <w:tc>
          <w:tcPr>
            <w:tcW w:w="312" w:type="pct"/>
            <w:noWrap w:val="0"/>
            <w:vAlign w:val="top"/>
          </w:tcPr>
          <w:p w14:paraId="341A651D">
            <w:pPr>
              <w:pStyle w:val="8"/>
              <w:keepNext w:val="0"/>
              <w:keepLines w:val="0"/>
              <w:pageBreakBefore w:val="0"/>
              <w:kinsoku/>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序号</w:t>
            </w:r>
          </w:p>
        </w:tc>
        <w:tc>
          <w:tcPr>
            <w:tcW w:w="4326" w:type="pct"/>
            <w:noWrap w:val="0"/>
            <w:vAlign w:val="top"/>
          </w:tcPr>
          <w:p w14:paraId="0E28039E">
            <w:pPr>
              <w:pStyle w:val="8"/>
              <w:keepNext w:val="0"/>
              <w:keepLines w:val="0"/>
              <w:pageBreakBefore w:val="0"/>
              <w:kinsoku/>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具体技术(参数)要求</w:t>
            </w:r>
          </w:p>
        </w:tc>
      </w:tr>
      <w:tr w14:paraId="5999E7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1" w:type="pct"/>
            <w:noWrap w:val="0"/>
            <w:vAlign w:val="top"/>
          </w:tcPr>
          <w:p w14:paraId="18B97777">
            <w:pPr>
              <w:keepNext w:val="0"/>
              <w:keepLines w:val="0"/>
              <w:pageBreakBefore w:val="0"/>
              <w:kinsoku/>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0"/>
                <w:szCs w:val="20"/>
                <w:highlight w:val="none"/>
              </w:rPr>
            </w:pPr>
          </w:p>
        </w:tc>
        <w:tc>
          <w:tcPr>
            <w:tcW w:w="312" w:type="pct"/>
            <w:noWrap w:val="0"/>
            <w:vAlign w:val="top"/>
          </w:tcPr>
          <w:p w14:paraId="49FCC85D">
            <w:pPr>
              <w:pStyle w:val="8"/>
              <w:keepNext w:val="0"/>
              <w:keepLines w:val="0"/>
              <w:pageBreakBefore w:val="0"/>
              <w:kinsoku/>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1</w:t>
            </w:r>
          </w:p>
        </w:tc>
        <w:tc>
          <w:tcPr>
            <w:tcW w:w="4326" w:type="pct"/>
            <w:noWrap w:val="0"/>
            <w:vAlign w:val="top"/>
          </w:tcPr>
          <w:p w14:paraId="3C4D8091">
            <w:pPr>
              <w:pStyle w:val="8"/>
              <w:keepNext w:val="0"/>
              <w:keepLines w:val="0"/>
              <w:pageBreakBefore w:val="0"/>
              <w:kinsoku/>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bCs/>
                <w:sz w:val="20"/>
                <w:szCs w:val="20"/>
                <w:highlight w:val="none"/>
              </w:rPr>
            </w:pPr>
            <w:r>
              <w:rPr>
                <w:rFonts w:hint="eastAsia" w:asciiTheme="minorEastAsia" w:hAnsiTheme="minorEastAsia" w:eastAsiaTheme="minorEastAsia" w:cstheme="minorEastAsia"/>
                <w:b/>
                <w:bCs/>
                <w:sz w:val="20"/>
                <w:szCs w:val="20"/>
                <w:highlight w:val="none"/>
                <w:lang w:val="en-US" w:eastAsia="zh-CN"/>
              </w:rPr>
              <w:t>一</w:t>
            </w:r>
            <w:r>
              <w:rPr>
                <w:rFonts w:hint="eastAsia" w:asciiTheme="minorEastAsia" w:hAnsiTheme="minorEastAsia" w:eastAsiaTheme="minorEastAsia" w:cstheme="minorEastAsia"/>
                <w:b/>
                <w:bCs/>
                <w:sz w:val="20"/>
                <w:szCs w:val="20"/>
                <w:highlight w:val="none"/>
              </w:rPr>
              <w:t>、项目内容</w:t>
            </w:r>
          </w:p>
          <w:p w14:paraId="15DFCB90">
            <w:pPr>
              <w:pStyle w:val="8"/>
              <w:keepNext w:val="0"/>
              <w:keepLines w:val="0"/>
              <w:pageBreakBefore w:val="0"/>
              <w:kinsoku/>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（一）服务范围</w:t>
            </w:r>
          </w:p>
          <w:p w14:paraId="6F269E00">
            <w:pPr>
              <w:pStyle w:val="8"/>
              <w:keepNext w:val="0"/>
              <w:keepLines w:val="0"/>
              <w:pageBreakBefore w:val="0"/>
              <w:kinsoku/>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（1）谢岗镇</w:t>
            </w:r>
            <w:r>
              <w:rPr>
                <w:rFonts w:hint="eastAsia" w:asciiTheme="minorEastAsia" w:hAnsiTheme="minorEastAsia" w:eastAsiaTheme="minorEastAsia" w:cstheme="minorEastAsia"/>
                <w:sz w:val="20"/>
                <w:szCs w:val="20"/>
                <w:highlight w:val="none"/>
                <w:lang w:val="en-US" w:eastAsia="zh-CN"/>
              </w:rPr>
              <w:t>曹乐</w:t>
            </w:r>
            <w:r>
              <w:rPr>
                <w:rFonts w:hint="eastAsia" w:asciiTheme="minorEastAsia" w:hAnsiTheme="minorEastAsia" w:eastAsiaTheme="minorEastAsia" w:cstheme="minorEastAsia"/>
                <w:sz w:val="20"/>
                <w:szCs w:val="20"/>
                <w:highlight w:val="none"/>
              </w:rPr>
              <w:t>辖区内划定的市容综合巡查管理服务区域，中标人负责定点定岗驻</w:t>
            </w:r>
            <w:r>
              <w:rPr>
                <w:rFonts w:hint="eastAsia" w:asciiTheme="minorEastAsia" w:hAnsiTheme="minorEastAsia" w:eastAsiaTheme="minorEastAsia" w:cstheme="minorEastAsia"/>
                <w:sz w:val="20"/>
                <w:szCs w:val="20"/>
                <w:highlight w:val="none"/>
              </w:rPr>
              <w:t>守、动态巡查管理。</w:t>
            </w:r>
          </w:p>
          <w:p w14:paraId="75C320E6">
            <w:pPr>
              <w:pStyle w:val="8"/>
              <w:keepNext w:val="0"/>
              <w:keepLines w:val="0"/>
              <w:pageBreakBefore w:val="0"/>
              <w:kinsoku/>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（2）谢岗镇</w:t>
            </w:r>
            <w:r>
              <w:rPr>
                <w:rFonts w:hint="eastAsia" w:asciiTheme="minorEastAsia" w:hAnsiTheme="minorEastAsia" w:eastAsiaTheme="minorEastAsia" w:cstheme="minorEastAsia"/>
                <w:sz w:val="20"/>
                <w:szCs w:val="20"/>
                <w:highlight w:val="none"/>
                <w:lang w:val="en-US" w:eastAsia="zh-CN"/>
              </w:rPr>
              <w:t>曹乐</w:t>
            </w:r>
            <w:r>
              <w:rPr>
                <w:rFonts w:hint="eastAsia" w:asciiTheme="minorEastAsia" w:hAnsiTheme="minorEastAsia" w:eastAsiaTheme="minorEastAsia" w:cstheme="minorEastAsia"/>
                <w:sz w:val="20"/>
                <w:szCs w:val="20"/>
                <w:highlight w:val="none"/>
              </w:rPr>
              <w:t>辖区内开展执法整</w:t>
            </w:r>
            <w:r>
              <w:rPr>
                <w:rFonts w:hint="eastAsia" w:asciiTheme="minorEastAsia" w:hAnsiTheme="minorEastAsia" w:eastAsiaTheme="minorEastAsia" w:cstheme="minorEastAsia"/>
                <w:sz w:val="20"/>
                <w:szCs w:val="20"/>
                <w:highlight w:val="none"/>
              </w:rPr>
              <w:t>治工作，中标人负责现场的安全保卫和秩序维护工作。</w:t>
            </w:r>
          </w:p>
        </w:tc>
      </w:tr>
      <w:tr w14:paraId="44A0F3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1" w:type="pct"/>
            <w:noWrap w:val="0"/>
            <w:vAlign w:val="top"/>
          </w:tcPr>
          <w:p w14:paraId="69799358">
            <w:pPr>
              <w:keepNext w:val="0"/>
              <w:keepLines w:val="0"/>
              <w:pageBreakBefore w:val="0"/>
              <w:kinsoku/>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0"/>
                <w:szCs w:val="20"/>
                <w:highlight w:val="none"/>
              </w:rPr>
            </w:pPr>
          </w:p>
        </w:tc>
        <w:tc>
          <w:tcPr>
            <w:tcW w:w="312" w:type="pct"/>
            <w:noWrap w:val="0"/>
            <w:vAlign w:val="top"/>
          </w:tcPr>
          <w:p w14:paraId="11738058">
            <w:pPr>
              <w:pStyle w:val="8"/>
              <w:keepNext w:val="0"/>
              <w:keepLines w:val="0"/>
              <w:pageBreakBefore w:val="0"/>
              <w:kinsoku/>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0"/>
                <w:szCs w:val="20"/>
                <w:highlight w:val="none"/>
                <w:lang w:val="en-US" w:eastAsia="zh-CN"/>
              </w:rPr>
            </w:pPr>
            <w:r>
              <w:rPr>
                <w:rFonts w:hint="eastAsia" w:asciiTheme="minorEastAsia" w:hAnsiTheme="minorEastAsia" w:eastAsiaTheme="minorEastAsia" w:cstheme="minorEastAsia"/>
                <w:sz w:val="20"/>
                <w:szCs w:val="20"/>
                <w:highlight w:val="none"/>
                <w:lang w:val="en-US" w:eastAsia="zh-CN"/>
              </w:rPr>
              <w:t>2</w:t>
            </w:r>
          </w:p>
        </w:tc>
        <w:tc>
          <w:tcPr>
            <w:tcW w:w="4326" w:type="pct"/>
            <w:noWrap w:val="0"/>
            <w:vAlign w:val="top"/>
          </w:tcPr>
          <w:p w14:paraId="3F32C03B">
            <w:pPr>
              <w:pStyle w:val="8"/>
              <w:keepNext w:val="0"/>
              <w:keepLines w:val="0"/>
              <w:pageBreakBefore w:val="0"/>
              <w:kinsoku/>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bCs/>
                <w:sz w:val="20"/>
                <w:szCs w:val="20"/>
                <w:highlight w:val="none"/>
              </w:rPr>
            </w:pPr>
            <w:r>
              <w:rPr>
                <w:rFonts w:hint="eastAsia" w:asciiTheme="minorEastAsia" w:hAnsiTheme="minorEastAsia" w:eastAsiaTheme="minorEastAsia" w:cstheme="minorEastAsia"/>
                <w:b/>
                <w:bCs/>
                <w:sz w:val="20"/>
                <w:szCs w:val="20"/>
                <w:highlight w:val="none"/>
              </w:rPr>
              <w:t>（二）服务内容</w:t>
            </w:r>
          </w:p>
          <w:p w14:paraId="73F36FFA">
            <w:pPr>
              <w:pStyle w:val="8"/>
              <w:keepNext w:val="0"/>
              <w:keepLines w:val="0"/>
              <w:pageBreakBefore w:val="0"/>
              <w:kinsoku/>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1、市容综合巡查管理服务区域内不得存在以下违法违规行为，中标人发现以下行为应及时报告给采购人，并协助采购人进行处理：</w:t>
            </w:r>
          </w:p>
          <w:p w14:paraId="519CCC75">
            <w:pPr>
              <w:pStyle w:val="8"/>
              <w:keepNext w:val="0"/>
              <w:keepLines w:val="0"/>
              <w:pageBreakBefore w:val="0"/>
              <w:kinsoku/>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（1）乱张挂、乱张贴以及派发经营性宣传品、小广告行为；</w:t>
            </w:r>
          </w:p>
          <w:p w14:paraId="0B763A35">
            <w:pPr>
              <w:pStyle w:val="8"/>
              <w:keepNext w:val="0"/>
              <w:keepLines w:val="0"/>
              <w:pageBreakBefore w:val="0"/>
              <w:kinsoku/>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（2）乱刻画、乱涂写行为；</w:t>
            </w:r>
          </w:p>
          <w:p w14:paraId="3D20A726">
            <w:pPr>
              <w:pStyle w:val="8"/>
              <w:keepNext w:val="0"/>
              <w:keepLines w:val="0"/>
              <w:pageBreakBefore w:val="0"/>
              <w:kinsoku/>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（3）乱堆放、乱挂晒、乱吊挂行为；</w:t>
            </w:r>
          </w:p>
          <w:p w14:paraId="4936176B">
            <w:pPr>
              <w:pStyle w:val="8"/>
              <w:keepNext w:val="0"/>
              <w:keepLines w:val="0"/>
              <w:pageBreakBefore w:val="0"/>
              <w:kinsoku/>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（4）擅自设置横幅标语、彩旗、气球等宣传品行为；</w:t>
            </w:r>
          </w:p>
          <w:p w14:paraId="1DAF973B">
            <w:pPr>
              <w:pStyle w:val="8"/>
              <w:keepNext w:val="0"/>
              <w:keepLines w:val="0"/>
              <w:pageBreakBefore w:val="0"/>
              <w:kinsoku/>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（5）商场、门店超出门、窗外墙进行摆卖、经营行为；</w:t>
            </w:r>
          </w:p>
          <w:p w14:paraId="14E2A5B0">
            <w:pPr>
              <w:pStyle w:val="8"/>
              <w:keepNext w:val="0"/>
              <w:keepLines w:val="0"/>
              <w:pageBreakBefore w:val="0"/>
              <w:kinsoku/>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（6）占用道路两侧、绿化带或其它公共场所堆放物品、摆摊设点、销售商品行为；</w:t>
            </w:r>
          </w:p>
          <w:p w14:paraId="11B6B876">
            <w:pPr>
              <w:pStyle w:val="8"/>
              <w:keepNext w:val="0"/>
              <w:keepLines w:val="0"/>
              <w:pageBreakBefore w:val="0"/>
              <w:kinsoku/>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（7）未经书面批准在街头、路面、灯光夜市进行摆卖或营业性演出行为；</w:t>
            </w:r>
          </w:p>
          <w:p w14:paraId="6F979C5F">
            <w:pPr>
              <w:pStyle w:val="8"/>
              <w:keepNext w:val="0"/>
              <w:keepLines w:val="0"/>
              <w:pageBreakBefore w:val="0"/>
              <w:kinsoku/>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（8）未经批准，占用人行道进行施工或设置各种设施行为；</w:t>
            </w:r>
          </w:p>
          <w:p w14:paraId="6C222938">
            <w:pPr>
              <w:pStyle w:val="8"/>
              <w:keepNext w:val="0"/>
              <w:keepLines w:val="0"/>
              <w:pageBreakBefore w:val="0"/>
              <w:kinsoku/>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（9）乱搭建建筑物、构筑物或者其它设施行为；</w:t>
            </w:r>
          </w:p>
          <w:p w14:paraId="27F21834">
            <w:pPr>
              <w:pStyle w:val="8"/>
              <w:keepNext w:val="0"/>
              <w:keepLines w:val="0"/>
              <w:pageBreakBefore w:val="0"/>
              <w:kinsoku/>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（10）擅自设置广告招聘以及残旧、破损、脱落的户外广告（霓虹灯）；</w:t>
            </w:r>
          </w:p>
          <w:p w14:paraId="6F5EE726">
            <w:pPr>
              <w:pStyle w:val="8"/>
              <w:keepNext w:val="0"/>
              <w:keepLines w:val="0"/>
              <w:pageBreakBefore w:val="0"/>
              <w:kinsoku/>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（11）向城市道路、公共场所、城市绿地倾倒、排放废水和污水、污物行为；</w:t>
            </w:r>
          </w:p>
          <w:p w14:paraId="23765F4F">
            <w:pPr>
              <w:pStyle w:val="8"/>
              <w:keepNext w:val="0"/>
              <w:keepLines w:val="0"/>
              <w:pageBreakBefore w:val="0"/>
              <w:kinsoku/>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（12）露天或搭棚或利用其它简便设施在公共场所睡觉、居住行为；</w:t>
            </w:r>
          </w:p>
          <w:p w14:paraId="3741F819">
            <w:pPr>
              <w:pStyle w:val="8"/>
              <w:keepNext w:val="0"/>
              <w:keepLines w:val="0"/>
              <w:pageBreakBefore w:val="0"/>
              <w:kinsoku/>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（13）临街工地未设置护栏或未作遮挡现象；</w:t>
            </w:r>
          </w:p>
          <w:p w14:paraId="18667A7D">
            <w:pPr>
              <w:pStyle w:val="8"/>
              <w:keepNext w:val="0"/>
              <w:keepLines w:val="0"/>
              <w:pageBreakBefore w:val="0"/>
              <w:kinsoku/>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（14）侵占、损坏城市绿化用地行为；</w:t>
            </w:r>
          </w:p>
          <w:p w14:paraId="5F11E89D">
            <w:pPr>
              <w:pStyle w:val="8"/>
              <w:keepNext w:val="0"/>
              <w:keepLines w:val="0"/>
              <w:pageBreakBefore w:val="0"/>
              <w:kinsoku/>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（15）门店在商业经营活动中使用高音喇叭或采用其他发出高噪音的方法招揽顾客行为；</w:t>
            </w:r>
          </w:p>
          <w:p w14:paraId="5685D728">
            <w:pPr>
              <w:pStyle w:val="8"/>
              <w:keepNext w:val="0"/>
              <w:keepLines w:val="0"/>
              <w:pageBreakBefore w:val="0"/>
              <w:kinsoku/>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（16）擅自在公共区域以及在群众娱乐、集会等活动中使用高音喇叭和广播宣传车行为；</w:t>
            </w:r>
          </w:p>
          <w:p w14:paraId="3CD56860">
            <w:pPr>
              <w:pStyle w:val="8"/>
              <w:keepNext w:val="0"/>
              <w:keepLines w:val="0"/>
              <w:pageBreakBefore w:val="0"/>
              <w:kinsoku/>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（17）露天焚烧废弃物行为；</w:t>
            </w:r>
          </w:p>
          <w:p w14:paraId="3C77C3EB">
            <w:pPr>
              <w:pStyle w:val="8"/>
              <w:keepNext w:val="0"/>
              <w:keepLines w:val="0"/>
              <w:pageBreakBefore w:val="0"/>
              <w:kinsoku/>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（18）其它违反城市市容环境管理规定的情形。</w:t>
            </w:r>
          </w:p>
          <w:p w14:paraId="48A98FEC">
            <w:pPr>
              <w:pStyle w:val="8"/>
              <w:keepNext w:val="0"/>
              <w:keepLines w:val="0"/>
              <w:pageBreakBefore w:val="0"/>
              <w:kinsoku/>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2、协助采购人开展在建违法建筑专项整治工作。</w:t>
            </w:r>
          </w:p>
          <w:p w14:paraId="59A5A4BC">
            <w:pPr>
              <w:pStyle w:val="8"/>
              <w:keepNext w:val="0"/>
              <w:keepLines w:val="0"/>
              <w:pageBreakBefore w:val="0"/>
              <w:kinsoku/>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3、协助采购人开展无证经营“黑气”专项整治工作。</w:t>
            </w:r>
          </w:p>
          <w:p w14:paraId="5976185F">
            <w:pPr>
              <w:pStyle w:val="8"/>
              <w:keepNext w:val="0"/>
              <w:keepLines w:val="0"/>
              <w:pageBreakBefore w:val="0"/>
              <w:kinsoku/>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4、协助采购人开展泥头车及违法偷倒余泥垃圾专项整治工作。</w:t>
            </w:r>
          </w:p>
          <w:p w14:paraId="0A184E1B">
            <w:pPr>
              <w:pStyle w:val="8"/>
              <w:keepNext w:val="0"/>
              <w:keepLines w:val="0"/>
              <w:pageBreakBefore w:val="0"/>
              <w:kinsoku/>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5、协助采购人开展环境卫生、市政设施、城市六乱等城市管理领域巡查和信息采集工作。</w:t>
            </w:r>
          </w:p>
          <w:p w14:paraId="6EF30735">
            <w:pPr>
              <w:pStyle w:val="8"/>
              <w:keepNext w:val="0"/>
              <w:keepLines w:val="0"/>
              <w:pageBreakBefore w:val="0"/>
              <w:kinsoku/>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6、执法整治现场的安全保卫和秩序维护工作。</w:t>
            </w:r>
          </w:p>
          <w:p w14:paraId="4BFC131B">
            <w:pPr>
              <w:pStyle w:val="8"/>
              <w:keepNext w:val="0"/>
              <w:keepLines w:val="0"/>
              <w:pageBreakBefore w:val="0"/>
              <w:kinsoku/>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7、协助采购人开展城市管理其他相关工作。</w:t>
            </w:r>
          </w:p>
        </w:tc>
      </w:tr>
      <w:tr w14:paraId="045F1A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1" w:type="pct"/>
            <w:noWrap w:val="0"/>
            <w:vAlign w:val="top"/>
          </w:tcPr>
          <w:p w14:paraId="5CC4315A">
            <w:pPr>
              <w:keepNext w:val="0"/>
              <w:keepLines w:val="0"/>
              <w:pageBreakBefore w:val="0"/>
              <w:kinsoku/>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0"/>
                <w:szCs w:val="20"/>
                <w:highlight w:val="none"/>
              </w:rPr>
            </w:pPr>
          </w:p>
        </w:tc>
        <w:tc>
          <w:tcPr>
            <w:tcW w:w="312" w:type="pct"/>
            <w:noWrap w:val="0"/>
            <w:vAlign w:val="top"/>
          </w:tcPr>
          <w:p w14:paraId="2B036313">
            <w:pPr>
              <w:pStyle w:val="8"/>
              <w:keepNext w:val="0"/>
              <w:keepLines w:val="0"/>
              <w:pageBreakBefore w:val="0"/>
              <w:kinsoku/>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0"/>
                <w:szCs w:val="20"/>
                <w:highlight w:val="none"/>
                <w:lang w:val="en-US" w:eastAsia="zh-CN"/>
              </w:rPr>
            </w:pPr>
            <w:r>
              <w:rPr>
                <w:rFonts w:hint="eastAsia" w:asciiTheme="minorEastAsia" w:hAnsiTheme="minorEastAsia" w:eastAsiaTheme="minorEastAsia" w:cstheme="minorEastAsia"/>
                <w:sz w:val="20"/>
                <w:szCs w:val="20"/>
                <w:highlight w:val="none"/>
                <w:lang w:val="en-US" w:eastAsia="zh-CN"/>
              </w:rPr>
              <w:t>3</w:t>
            </w:r>
          </w:p>
        </w:tc>
        <w:tc>
          <w:tcPr>
            <w:tcW w:w="4326" w:type="pct"/>
            <w:noWrap w:val="0"/>
            <w:vAlign w:val="top"/>
          </w:tcPr>
          <w:p w14:paraId="79959DF4">
            <w:pPr>
              <w:pStyle w:val="8"/>
              <w:keepNext w:val="0"/>
              <w:keepLines w:val="0"/>
              <w:pageBreakBefore w:val="0"/>
              <w:kinsoku/>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bCs/>
                <w:sz w:val="20"/>
                <w:szCs w:val="20"/>
                <w:highlight w:val="none"/>
              </w:rPr>
            </w:pPr>
            <w:r>
              <w:rPr>
                <w:rFonts w:hint="eastAsia" w:asciiTheme="minorEastAsia" w:hAnsiTheme="minorEastAsia" w:eastAsiaTheme="minorEastAsia" w:cstheme="minorEastAsia"/>
                <w:b/>
                <w:bCs/>
                <w:sz w:val="20"/>
                <w:szCs w:val="20"/>
                <w:highlight w:val="none"/>
              </w:rPr>
              <w:t>（三）工作要求</w:t>
            </w:r>
          </w:p>
          <w:p w14:paraId="4EE01EE3">
            <w:pPr>
              <w:pStyle w:val="8"/>
              <w:keepNext w:val="0"/>
              <w:keepLines w:val="0"/>
              <w:pageBreakBefore w:val="0"/>
              <w:kinsoku/>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1）中标人需服从安排调配，协助采购人开展职责范围内的各类专项整治，包括但不限于整治城市“六乱”顽疾性问题、强制拆除违章户外广告和在建违法建筑、查封黑燃气窝点和以车辆为掩护的流动式燃气充装经营行为；</w:t>
            </w:r>
          </w:p>
          <w:p w14:paraId="1D2983D2">
            <w:pPr>
              <w:pStyle w:val="8"/>
              <w:keepNext w:val="0"/>
              <w:keepLines w:val="0"/>
              <w:pageBreakBefore w:val="0"/>
              <w:kinsoku/>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（2）中标人需合法合规的开展采购人执法现场的安全保卫和秩序维护工作，提前防范、迅速处理，有效制止各类阻挠执法或暴力抗法行为，确保执法人员和协管人员的人身财产安全，保障执法工作顺利开展。</w:t>
            </w:r>
            <w:r>
              <w:rPr>
                <w:rFonts w:hint="eastAsia" w:asciiTheme="minorEastAsia" w:hAnsiTheme="minorEastAsia" w:cstheme="minorEastAsia"/>
                <w:sz w:val="20"/>
                <w:szCs w:val="20"/>
                <w:highlight w:val="none"/>
                <w:lang w:val="en-US" w:eastAsia="zh-CN"/>
              </w:rPr>
              <w:t>中标</w:t>
            </w:r>
            <w:r>
              <w:rPr>
                <w:rFonts w:hint="eastAsia" w:asciiTheme="minorEastAsia" w:hAnsiTheme="minorEastAsia" w:eastAsiaTheme="minorEastAsia" w:cstheme="minorEastAsia"/>
                <w:sz w:val="20"/>
                <w:szCs w:val="20"/>
                <w:highlight w:val="none"/>
              </w:rPr>
              <w:t>人接到采购人的紧急通知后，2小时内响应到达现场。</w:t>
            </w:r>
          </w:p>
        </w:tc>
      </w:tr>
      <w:tr w14:paraId="6A22A1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1" w:type="pct"/>
            <w:noWrap w:val="0"/>
            <w:vAlign w:val="top"/>
          </w:tcPr>
          <w:p w14:paraId="09FE7E25">
            <w:pPr>
              <w:keepNext w:val="0"/>
              <w:keepLines w:val="0"/>
              <w:pageBreakBefore w:val="0"/>
              <w:kinsoku/>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0"/>
                <w:szCs w:val="20"/>
                <w:highlight w:val="none"/>
              </w:rPr>
            </w:pPr>
          </w:p>
        </w:tc>
        <w:tc>
          <w:tcPr>
            <w:tcW w:w="312" w:type="pct"/>
            <w:noWrap w:val="0"/>
            <w:vAlign w:val="top"/>
          </w:tcPr>
          <w:p w14:paraId="710D75F4">
            <w:pPr>
              <w:pStyle w:val="8"/>
              <w:keepNext w:val="0"/>
              <w:keepLines w:val="0"/>
              <w:pageBreakBefore w:val="0"/>
              <w:kinsoku/>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0"/>
                <w:szCs w:val="20"/>
                <w:highlight w:val="none"/>
                <w:lang w:val="en-US" w:eastAsia="zh-CN"/>
              </w:rPr>
            </w:pPr>
            <w:r>
              <w:rPr>
                <w:rFonts w:hint="eastAsia" w:asciiTheme="minorEastAsia" w:hAnsiTheme="minorEastAsia" w:eastAsiaTheme="minorEastAsia" w:cstheme="minorEastAsia"/>
                <w:sz w:val="20"/>
                <w:szCs w:val="20"/>
                <w:highlight w:val="none"/>
                <w:lang w:val="en-US" w:eastAsia="zh-CN"/>
              </w:rPr>
              <w:t>4</w:t>
            </w:r>
          </w:p>
        </w:tc>
        <w:tc>
          <w:tcPr>
            <w:tcW w:w="4326" w:type="pct"/>
            <w:noWrap w:val="0"/>
            <w:vAlign w:val="top"/>
          </w:tcPr>
          <w:p w14:paraId="4D4367EE">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40" w:lineRule="auto"/>
              <w:textAlignment w:val="auto"/>
              <w:rPr>
                <w:rFonts w:hint="eastAsia" w:asciiTheme="minorEastAsia" w:hAnsiTheme="minorEastAsia" w:eastAsiaTheme="minorEastAsia" w:cstheme="minorEastAsia"/>
                <w:color w:val="auto"/>
                <w:sz w:val="20"/>
                <w:szCs w:val="20"/>
                <w:highlight w:val="none"/>
                <w:lang w:val="en-US" w:eastAsia="zh-CN"/>
              </w:rPr>
            </w:pPr>
            <w:r>
              <w:rPr>
                <w:rFonts w:hint="eastAsia" w:asciiTheme="minorEastAsia" w:hAnsiTheme="minorEastAsia" w:eastAsiaTheme="minorEastAsia" w:cstheme="minorEastAsia"/>
                <w:b/>
                <w:bCs/>
                <w:color w:val="auto"/>
                <w:sz w:val="20"/>
                <w:szCs w:val="20"/>
                <w:highlight w:val="none"/>
                <w:lang w:val="en-US" w:eastAsia="zh-CN"/>
              </w:rPr>
              <w:t>（四）</w:t>
            </w:r>
            <w:r>
              <w:rPr>
                <w:rFonts w:hint="eastAsia" w:asciiTheme="minorEastAsia" w:hAnsiTheme="minorEastAsia" w:eastAsiaTheme="minorEastAsia" w:cstheme="minorEastAsia"/>
                <w:b/>
                <w:bCs/>
                <w:color w:val="auto"/>
                <w:sz w:val="20"/>
                <w:szCs w:val="20"/>
                <w:highlight w:val="none"/>
                <w:lang w:eastAsia="zh-CN"/>
              </w:rPr>
              <w:t>人员要求</w:t>
            </w:r>
          </w:p>
          <w:tbl>
            <w:tblPr>
              <w:tblStyle w:val="6"/>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2"/>
              <w:gridCol w:w="3122"/>
              <w:gridCol w:w="3010"/>
            </w:tblGrid>
            <w:tr w14:paraId="245FF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8" w:type="pct"/>
                  <w:noWrap w:val="0"/>
                  <w:vAlign w:val="center"/>
                </w:tcPr>
                <w:p w14:paraId="64B19DDB">
                  <w:pPr>
                    <w:keepNext w:val="0"/>
                    <w:keepLines w:val="0"/>
                    <w:pageBreakBefore w:val="0"/>
                    <w:kinsoku/>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0"/>
                      <w:szCs w:val="20"/>
                      <w:highlight w:val="none"/>
                      <w:vertAlign w:val="baseline"/>
                      <w:lang w:val="en-US" w:eastAsia="zh-CN"/>
                    </w:rPr>
                  </w:pPr>
                  <w:r>
                    <w:rPr>
                      <w:rFonts w:hint="eastAsia" w:asciiTheme="minorEastAsia" w:hAnsiTheme="minorEastAsia" w:eastAsiaTheme="minorEastAsia" w:cstheme="minorEastAsia"/>
                      <w:b/>
                      <w:bCs/>
                      <w:color w:val="auto"/>
                      <w:sz w:val="20"/>
                      <w:szCs w:val="20"/>
                      <w:highlight w:val="none"/>
                      <w:vertAlign w:val="baseline"/>
                      <w:lang w:val="en-US" w:eastAsia="zh-CN"/>
                    </w:rPr>
                    <w:t>序号</w:t>
                  </w:r>
                </w:p>
              </w:tc>
              <w:tc>
                <w:tcPr>
                  <w:tcW w:w="2185" w:type="pct"/>
                  <w:noWrap w:val="0"/>
                  <w:vAlign w:val="center"/>
                </w:tcPr>
                <w:p w14:paraId="20F78C92">
                  <w:pPr>
                    <w:keepNext w:val="0"/>
                    <w:keepLines w:val="0"/>
                    <w:pageBreakBefore w:val="0"/>
                    <w:kinsoku/>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0"/>
                      <w:szCs w:val="20"/>
                      <w:highlight w:val="none"/>
                      <w:vertAlign w:val="baseline"/>
                      <w:lang w:val="en-US" w:eastAsia="zh-CN"/>
                    </w:rPr>
                  </w:pPr>
                  <w:r>
                    <w:rPr>
                      <w:rFonts w:hint="eastAsia" w:asciiTheme="minorEastAsia" w:hAnsiTheme="minorEastAsia" w:eastAsiaTheme="minorEastAsia" w:cstheme="minorEastAsia"/>
                      <w:b/>
                      <w:bCs/>
                      <w:color w:val="auto"/>
                      <w:sz w:val="20"/>
                      <w:szCs w:val="20"/>
                      <w:highlight w:val="none"/>
                      <w:vertAlign w:val="baseline"/>
                      <w:lang w:val="en-US" w:eastAsia="zh-CN"/>
                    </w:rPr>
                    <w:t>人员类型</w:t>
                  </w:r>
                </w:p>
              </w:tc>
              <w:tc>
                <w:tcPr>
                  <w:tcW w:w="2106" w:type="pct"/>
                  <w:noWrap w:val="0"/>
                  <w:vAlign w:val="center"/>
                </w:tcPr>
                <w:p w14:paraId="5FFEA15D">
                  <w:pPr>
                    <w:keepNext w:val="0"/>
                    <w:keepLines w:val="0"/>
                    <w:pageBreakBefore w:val="0"/>
                    <w:kinsoku/>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0"/>
                      <w:szCs w:val="20"/>
                      <w:highlight w:val="none"/>
                      <w:vertAlign w:val="baseline"/>
                      <w:lang w:val="en-US" w:eastAsia="zh-CN"/>
                    </w:rPr>
                  </w:pPr>
                  <w:r>
                    <w:rPr>
                      <w:rFonts w:hint="eastAsia" w:asciiTheme="minorEastAsia" w:hAnsiTheme="minorEastAsia" w:eastAsiaTheme="minorEastAsia" w:cstheme="minorEastAsia"/>
                      <w:b/>
                      <w:bCs/>
                      <w:color w:val="auto"/>
                      <w:sz w:val="20"/>
                      <w:szCs w:val="20"/>
                      <w:highlight w:val="none"/>
                      <w:vertAlign w:val="baseline"/>
                      <w:lang w:val="en-US" w:eastAsia="zh-CN"/>
                    </w:rPr>
                    <w:t>数量</w:t>
                  </w:r>
                </w:p>
              </w:tc>
            </w:tr>
            <w:tr w14:paraId="539CB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8" w:type="pct"/>
                  <w:tcBorders>
                    <w:bottom w:val="single" w:color="auto" w:sz="4" w:space="0"/>
                  </w:tcBorders>
                  <w:noWrap w:val="0"/>
                  <w:vAlign w:val="center"/>
                </w:tcPr>
                <w:p w14:paraId="6177A025">
                  <w:pPr>
                    <w:keepNext w:val="0"/>
                    <w:keepLines w:val="0"/>
                    <w:pageBreakBefore w:val="0"/>
                    <w:kinsoku/>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kern w:val="2"/>
                      <w:sz w:val="20"/>
                      <w:szCs w:val="20"/>
                      <w:highlight w:val="none"/>
                      <w:vertAlign w:val="baseline"/>
                      <w:lang w:val="en-US" w:eastAsia="zh-CN" w:bidi="ar-SA"/>
                    </w:rPr>
                  </w:pPr>
                  <w:r>
                    <w:rPr>
                      <w:rFonts w:hint="eastAsia" w:asciiTheme="minorEastAsia" w:hAnsiTheme="minorEastAsia" w:eastAsiaTheme="minorEastAsia" w:cstheme="minorEastAsia"/>
                      <w:color w:val="auto"/>
                      <w:sz w:val="20"/>
                      <w:szCs w:val="20"/>
                      <w:highlight w:val="none"/>
                      <w:vertAlign w:val="baseline"/>
                      <w:lang w:val="en-US" w:eastAsia="zh-CN"/>
                    </w:rPr>
                    <w:t>1</w:t>
                  </w:r>
                </w:p>
              </w:tc>
              <w:tc>
                <w:tcPr>
                  <w:tcW w:w="2185" w:type="pct"/>
                  <w:noWrap w:val="0"/>
                  <w:vAlign w:val="center"/>
                </w:tcPr>
                <w:p w14:paraId="536B39CD">
                  <w:pPr>
                    <w:keepNext w:val="0"/>
                    <w:keepLines w:val="0"/>
                    <w:pageBreakBefore w:val="0"/>
                    <w:kinsoku/>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kern w:val="2"/>
                      <w:sz w:val="20"/>
                      <w:szCs w:val="20"/>
                      <w:highlight w:val="none"/>
                      <w:vertAlign w:val="baseline"/>
                      <w:lang w:val="en-US" w:eastAsia="zh-CN" w:bidi="ar-SA"/>
                    </w:rPr>
                  </w:pPr>
                  <w:r>
                    <w:rPr>
                      <w:rFonts w:hint="eastAsia" w:asciiTheme="minorEastAsia" w:hAnsiTheme="minorEastAsia" w:eastAsiaTheme="minorEastAsia" w:cstheme="minorEastAsia"/>
                      <w:color w:val="auto"/>
                      <w:sz w:val="20"/>
                      <w:szCs w:val="20"/>
                      <w:highlight w:val="none"/>
                      <w:lang w:val="en-US" w:eastAsia="zh-CN"/>
                    </w:rPr>
                    <w:t>协勤人员类型</w:t>
                  </w:r>
                </w:p>
              </w:tc>
              <w:tc>
                <w:tcPr>
                  <w:tcW w:w="2106" w:type="pct"/>
                  <w:noWrap w:val="0"/>
                  <w:vAlign w:val="center"/>
                </w:tcPr>
                <w:p w14:paraId="2422811F">
                  <w:pPr>
                    <w:keepNext w:val="0"/>
                    <w:keepLines w:val="0"/>
                    <w:pageBreakBefore w:val="0"/>
                    <w:kinsoku/>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kern w:val="2"/>
                      <w:sz w:val="20"/>
                      <w:szCs w:val="20"/>
                      <w:highlight w:val="none"/>
                      <w:vertAlign w:val="baseline"/>
                      <w:lang w:val="en-US" w:eastAsia="zh-CN" w:bidi="ar-SA"/>
                    </w:rPr>
                  </w:pPr>
                  <w:r>
                    <w:rPr>
                      <w:rFonts w:hint="eastAsia" w:asciiTheme="minorEastAsia" w:hAnsiTheme="minorEastAsia" w:eastAsiaTheme="minorEastAsia" w:cstheme="minorEastAsia"/>
                      <w:color w:val="auto"/>
                      <w:sz w:val="20"/>
                      <w:szCs w:val="20"/>
                      <w:highlight w:val="none"/>
                      <w:vertAlign w:val="baseline"/>
                      <w:lang w:val="en-US" w:eastAsia="zh-CN"/>
                    </w:rPr>
                    <w:t>15人</w:t>
                  </w:r>
                </w:p>
              </w:tc>
            </w:tr>
          </w:tbl>
          <w:p w14:paraId="2D316527">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40" w:lineRule="auto"/>
              <w:ind w:firstLine="400" w:firstLineChars="200"/>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1、</w:t>
            </w:r>
            <w:r>
              <w:rPr>
                <w:rFonts w:hint="eastAsia" w:asciiTheme="minorEastAsia" w:hAnsiTheme="minorEastAsia" w:eastAsiaTheme="minorEastAsia" w:cstheme="minorEastAsia"/>
                <w:color w:val="auto"/>
                <w:sz w:val="20"/>
                <w:szCs w:val="20"/>
                <w:highlight w:val="none"/>
                <w:lang w:val="en-US" w:eastAsia="zh-CN"/>
              </w:rPr>
              <w:t>协勤人员类型</w:t>
            </w:r>
            <w:r>
              <w:rPr>
                <w:rFonts w:hint="eastAsia" w:asciiTheme="minorEastAsia" w:hAnsiTheme="minorEastAsia" w:eastAsiaTheme="minorEastAsia" w:cstheme="minorEastAsia"/>
                <w:kern w:val="0"/>
                <w:sz w:val="20"/>
                <w:szCs w:val="20"/>
                <w:highlight w:val="none"/>
                <w:lang w:val="en-US" w:eastAsia="zh-CN"/>
              </w:rPr>
              <w:t>：15名</w:t>
            </w:r>
          </w:p>
          <w:p w14:paraId="7BC28196">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40" w:lineRule="auto"/>
              <w:ind w:firstLine="400" w:firstLineChars="200"/>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（1）年龄50岁（含）以下，</w:t>
            </w:r>
            <w:bookmarkStart w:id="0" w:name="OLE_LINK3"/>
            <w:r>
              <w:rPr>
                <w:rFonts w:hint="eastAsia" w:asciiTheme="minorEastAsia" w:hAnsiTheme="minorEastAsia" w:eastAsiaTheme="minorEastAsia" w:cstheme="minorEastAsia"/>
                <w:kern w:val="0"/>
                <w:sz w:val="20"/>
                <w:szCs w:val="20"/>
                <w:highlight w:val="none"/>
                <w:lang w:val="en-US" w:eastAsia="zh-CN"/>
              </w:rPr>
              <w:t>男的身高要求170cm以上，女的身高要求160cm以上，高中学历或以上</w:t>
            </w:r>
            <w:bookmarkEnd w:id="0"/>
            <w:r>
              <w:rPr>
                <w:rFonts w:hint="eastAsia" w:asciiTheme="minorEastAsia" w:hAnsiTheme="minorEastAsia" w:eastAsiaTheme="minorEastAsia" w:cstheme="minorEastAsia"/>
                <w:kern w:val="0"/>
                <w:sz w:val="20"/>
                <w:szCs w:val="20"/>
                <w:highlight w:val="none"/>
                <w:lang w:val="en-US" w:eastAsia="zh-CN"/>
              </w:rPr>
              <w:t>。</w:t>
            </w:r>
          </w:p>
          <w:p w14:paraId="55EBCED4">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40" w:lineRule="auto"/>
              <w:ind w:firstLine="400" w:firstLineChars="200"/>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（2）无违法犯罪记录，有较好的身体素质，热爱城管工作、责任心强。</w:t>
            </w:r>
          </w:p>
          <w:p w14:paraId="56F83737">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40" w:lineRule="auto"/>
              <w:ind w:firstLine="400" w:firstLineChars="200"/>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2、中标人为每名协勤人员配备协勤服、防刺手套、盾牌、防暴头盔、防暴棍以及上岗所需的其他装备配备。中标人自行为协勤人员购买人身意外险，投保金额不低于84元/人。</w:t>
            </w:r>
          </w:p>
          <w:p w14:paraId="17C199A5">
            <w:pPr>
              <w:pStyle w:val="8"/>
              <w:keepNext w:val="0"/>
              <w:keepLines w:val="0"/>
              <w:pageBreakBefore w:val="0"/>
              <w:kinsoku/>
              <w:overflowPunct/>
              <w:topLinePunct w:val="0"/>
              <w:autoSpaceDE/>
              <w:autoSpaceDN/>
              <w:bidi w:val="0"/>
              <w:adjustRightInd/>
              <w:snapToGrid/>
              <w:spacing w:line="240" w:lineRule="auto"/>
              <w:ind w:firstLine="400" w:firstLineChars="200"/>
              <w:jc w:val="both"/>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cstheme="minorEastAsia"/>
                <w:kern w:val="0"/>
                <w:sz w:val="20"/>
                <w:szCs w:val="20"/>
                <w:highlight w:val="none"/>
                <w:lang w:val="en-US" w:eastAsia="zh-CN"/>
              </w:rPr>
              <w:t>3</w:t>
            </w:r>
            <w:r>
              <w:rPr>
                <w:rFonts w:hint="eastAsia" w:asciiTheme="minorEastAsia" w:hAnsiTheme="minorEastAsia" w:eastAsiaTheme="minorEastAsia" w:cstheme="minorEastAsia"/>
                <w:kern w:val="0"/>
                <w:sz w:val="20"/>
                <w:szCs w:val="20"/>
                <w:highlight w:val="none"/>
                <w:lang w:val="en-US" w:eastAsia="zh-CN"/>
              </w:rPr>
              <w:t>、</w:t>
            </w:r>
            <w:r>
              <w:rPr>
                <w:rFonts w:hint="eastAsia" w:asciiTheme="minorEastAsia" w:hAnsiTheme="minorEastAsia" w:eastAsiaTheme="minorEastAsia" w:cstheme="minorEastAsia"/>
                <w:kern w:val="0"/>
                <w:sz w:val="20"/>
                <w:szCs w:val="20"/>
                <w:highlight w:val="none"/>
                <w:lang w:val="en-US" w:eastAsia="zh-Hans"/>
              </w:rPr>
              <w:t>需至少配备</w:t>
            </w:r>
            <w:r>
              <w:rPr>
                <w:rFonts w:hint="eastAsia" w:asciiTheme="minorEastAsia" w:hAnsiTheme="minorEastAsia" w:eastAsiaTheme="minorEastAsia" w:cstheme="minorEastAsia"/>
                <w:kern w:val="0"/>
                <w:sz w:val="20"/>
                <w:szCs w:val="20"/>
                <w:highlight w:val="none"/>
                <w:lang w:val="en-US" w:eastAsia="zh-CN"/>
              </w:rPr>
              <w:t>3</w:t>
            </w:r>
            <w:r>
              <w:rPr>
                <w:rFonts w:hint="eastAsia" w:asciiTheme="minorEastAsia" w:hAnsiTheme="minorEastAsia" w:eastAsiaTheme="minorEastAsia" w:cstheme="minorEastAsia"/>
                <w:kern w:val="0"/>
                <w:sz w:val="20"/>
                <w:szCs w:val="20"/>
                <w:highlight w:val="none"/>
                <w:lang w:val="en-US" w:eastAsia="zh-Hans"/>
              </w:rPr>
              <w:t>名退伍军人</w:t>
            </w:r>
            <w:r>
              <w:rPr>
                <w:rFonts w:hint="eastAsia" w:asciiTheme="minorEastAsia" w:hAnsiTheme="minorEastAsia" w:eastAsiaTheme="minorEastAsia" w:cstheme="minorEastAsia"/>
                <w:kern w:val="0"/>
                <w:sz w:val="20"/>
                <w:szCs w:val="20"/>
                <w:highlight w:val="none"/>
                <w:lang w:val="en-US" w:eastAsia="zh-CN"/>
              </w:rPr>
              <w:t>,并将退伍军人相关证件报采购人登记备案</w:t>
            </w:r>
            <w:r>
              <w:rPr>
                <w:rFonts w:hint="eastAsia" w:asciiTheme="minorEastAsia" w:hAnsiTheme="minorEastAsia" w:eastAsiaTheme="minorEastAsia" w:cstheme="minorEastAsia"/>
                <w:kern w:val="0"/>
                <w:sz w:val="20"/>
                <w:szCs w:val="20"/>
                <w:highlight w:val="none"/>
                <w:lang w:val="en-US" w:eastAsia="zh-Hans"/>
              </w:rPr>
              <w:t>。于中标后的一星期内上述人员证书原件送采购人核验，复印件盖公司公章送采购人备案。在合同履行期间，上述</w:t>
            </w:r>
            <w:r>
              <w:rPr>
                <w:rFonts w:hint="eastAsia" w:asciiTheme="minorEastAsia" w:hAnsiTheme="minorEastAsia" w:eastAsiaTheme="minorEastAsia" w:cstheme="minorEastAsia"/>
                <w:kern w:val="0"/>
                <w:sz w:val="20"/>
                <w:szCs w:val="20"/>
                <w:highlight w:val="none"/>
                <w:lang w:val="en-US" w:eastAsia="zh-CN"/>
              </w:rPr>
              <w:t>协勤人员</w:t>
            </w:r>
            <w:r>
              <w:rPr>
                <w:rFonts w:hint="eastAsia" w:asciiTheme="minorEastAsia" w:hAnsiTheme="minorEastAsia" w:eastAsiaTheme="minorEastAsia" w:cstheme="minorEastAsia"/>
                <w:kern w:val="0"/>
                <w:sz w:val="20"/>
                <w:szCs w:val="20"/>
                <w:highlight w:val="none"/>
                <w:lang w:val="en-US" w:eastAsia="zh-Hans"/>
              </w:rPr>
              <w:t>不得中途减少，如有变更应及时向采购人办理变更备案手续，更换</w:t>
            </w:r>
            <w:r>
              <w:rPr>
                <w:rFonts w:hint="eastAsia" w:asciiTheme="minorEastAsia" w:hAnsiTheme="minorEastAsia" w:eastAsiaTheme="minorEastAsia" w:cstheme="minorEastAsia"/>
                <w:kern w:val="0"/>
                <w:sz w:val="20"/>
                <w:szCs w:val="20"/>
                <w:highlight w:val="none"/>
                <w:lang w:val="en-US" w:eastAsia="zh-CN"/>
              </w:rPr>
              <w:t>人员</w:t>
            </w:r>
            <w:r>
              <w:rPr>
                <w:rFonts w:hint="eastAsia" w:asciiTheme="minorEastAsia" w:hAnsiTheme="minorEastAsia" w:eastAsiaTheme="minorEastAsia" w:cstheme="minorEastAsia"/>
                <w:kern w:val="0"/>
                <w:sz w:val="20"/>
                <w:szCs w:val="20"/>
                <w:highlight w:val="none"/>
                <w:lang w:val="en-US" w:eastAsia="zh-Hans"/>
              </w:rPr>
              <w:t>前必须征得采购人的同意，否则作违约处理。</w:t>
            </w:r>
          </w:p>
        </w:tc>
      </w:tr>
      <w:tr w14:paraId="53B5D3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1" w:type="pct"/>
            <w:noWrap w:val="0"/>
            <w:vAlign w:val="top"/>
          </w:tcPr>
          <w:p w14:paraId="37B750E9">
            <w:pPr>
              <w:keepNext w:val="0"/>
              <w:keepLines w:val="0"/>
              <w:pageBreakBefore w:val="0"/>
              <w:kinsoku/>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0"/>
                <w:szCs w:val="20"/>
                <w:highlight w:val="none"/>
              </w:rPr>
            </w:pPr>
          </w:p>
        </w:tc>
        <w:tc>
          <w:tcPr>
            <w:tcW w:w="312" w:type="pct"/>
            <w:noWrap w:val="0"/>
            <w:vAlign w:val="top"/>
          </w:tcPr>
          <w:p w14:paraId="4CF892A4">
            <w:pPr>
              <w:pStyle w:val="8"/>
              <w:keepNext w:val="0"/>
              <w:keepLines w:val="0"/>
              <w:pageBreakBefore w:val="0"/>
              <w:kinsoku/>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0"/>
                <w:szCs w:val="20"/>
                <w:highlight w:val="none"/>
                <w:lang w:val="en-US" w:eastAsia="zh-CN"/>
              </w:rPr>
            </w:pPr>
            <w:r>
              <w:rPr>
                <w:rFonts w:hint="eastAsia" w:asciiTheme="minorEastAsia" w:hAnsiTheme="minorEastAsia" w:eastAsiaTheme="minorEastAsia" w:cstheme="minorEastAsia"/>
                <w:sz w:val="20"/>
                <w:szCs w:val="20"/>
                <w:highlight w:val="none"/>
                <w:lang w:val="en-US" w:eastAsia="zh-CN"/>
              </w:rPr>
              <w:t>5</w:t>
            </w:r>
          </w:p>
        </w:tc>
        <w:tc>
          <w:tcPr>
            <w:tcW w:w="4326" w:type="pct"/>
            <w:noWrap w:val="0"/>
            <w:vAlign w:val="top"/>
          </w:tcPr>
          <w:p w14:paraId="2ED8B9FF">
            <w:pPr>
              <w:keepNext w:val="0"/>
              <w:keepLines w:val="0"/>
              <w:pageBreakBefore w:val="0"/>
              <w:numPr>
                <w:ilvl w:val="0"/>
                <w:numId w:val="0"/>
              </w:numPr>
              <w:kinsoku/>
              <w:overflowPunct/>
              <w:topLinePunct w:val="0"/>
              <w:autoSpaceDE/>
              <w:autoSpaceDN/>
              <w:bidi w:val="0"/>
              <w:adjustRightInd/>
              <w:snapToGrid/>
              <w:spacing w:beforeLines="0" w:afterLines="0" w:line="240" w:lineRule="auto"/>
              <w:textAlignment w:val="auto"/>
              <w:rPr>
                <w:rFonts w:hint="eastAsia" w:asciiTheme="minorEastAsia" w:hAnsiTheme="minorEastAsia" w:eastAsiaTheme="minorEastAsia" w:cstheme="minorEastAsia"/>
                <w:b/>
                <w:bCs/>
                <w:color w:val="auto"/>
                <w:sz w:val="20"/>
                <w:szCs w:val="20"/>
                <w:highlight w:val="none"/>
                <w:lang w:eastAsia="zh-CN"/>
              </w:rPr>
            </w:pPr>
            <w:r>
              <w:rPr>
                <w:rFonts w:hint="eastAsia" w:asciiTheme="minorEastAsia" w:hAnsiTheme="minorEastAsia" w:eastAsiaTheme="minorEastAsia" w:cstheme="minorEastAsia"/>
                <w:b/>
                <w:bCs/>
                <w:color w:val="auto"/>
                <w:sz w:val="20"/>
                <w:szCs w:val="20"/>
                <w:highlight w:val="none"/>
                <w:lang w:eastAsia="zh-CN"/>
              </w:rPr>
              <w:t>（</w:t>
            </w:r>
            <w:r>
              <w:rPr>
                <w:rFonts w:hint="eastAsia" w:asciiTheme="minorEastAsia" w:hAnsiTheme="minorEastAsia" w:eastAsiaTheme="minorEastAsia" w:cstheme="minorEastAsia"/>
                <w:b/>
                <w:bCs/>
                <w:color w:val="auto"/>
                <w:sz w:val="20"/>
                <w:szCs w:val="20"/>
                <w:highlight w:val="none"/>
                <w:lang w:val="en-US" w:eastAsia="zh-CN"/>
              </w:rPr>
              <w:t>五</w:t>
            </w:r>
            <w:r>
              <w:rPr>
                <w:rFonts w:hint="eastAsia" w:asciiTheme="minorEastAsia" w:hAnsiTheme="minorEastAsia" w:eastAsiaTheme="minorEastAsia" w:cstheme="minorEastAsia"/>
                <w:b/>
                <w:bCs/>
                <w:color w:val="auto"/>
                <w:sz w:val="20"/>
                <w:szCs w:val="20"/>
                <w:highlight w:val="none"/>
                <w:lang w:eastAsia="zh-CN"/>
              </w:rPr>
              <w:t>）人员待遇要求</w:t>
            </w:r>
          </w:p>
          <w:p w14:paraId="7E79FDFB">
            <w:pPr>
              <w:keepNext w:val="0"/>
              <w:keepLines w:val="0"/>
              <w:pageBreakBefore w:val="0"/>
              <w:kinsoku/>
              <w:wordWrap w:val="0"/>
              <w:overflowPunct/>
              <w:topLinePunct w:val="0"/>
              <w:autoSpaceDE/>
              <w:autoSpaceDN/>
              <w:bidi w:val="0"/>
              <w:adjustRightInd/>
              <w:snapToGrid/>
              <w:spacing w:beforeLines="0" w:afterLines="0" w:line="240" w:lineRule="auto"/>
              <w:ind w:firstLine="400" w:firstLineChars="200"/>
              <w:jc w:val="both"/>
              <w:textAlignment w:val="auto"/>
              <w:rPr>
                <w:rFonts w:hint="eastAsia" w:asciiTheme="minorEastAsia" w:hAnsiTheme="minorEastAsia" w:eastAsiaTheme="minorEastAsia" w:cstheme="minorEastAsia"/>
                <w:color w:val="FF0000"/>
                <w:sz w:val="20"/>
                <w:szCs w:val="20"/>
                <w:highlight w:val="none"/>
                <w:lang w:eastAsia="zh-CN"/>
              </w:rPr>
            </w:pPr>
            <w:r>
              <w:rPr>
                <w:rFonts w:hint="eastAsia" w:asciiTheme="minorEastAsia" w:hAnsiTheme="minorEastAsia" w:eastAsiaTheme="minorEastAsia" w:cstheme="minorEastAsia"/>
                <w:color w:val="000000"/>
                <w:sz w:val="20"/>
                <w:szCs w:val="20"/>
                <w:highlight w:val="none"/>
                <w:lang w:val="en-US" w:eastAsia="zh-CN"/>
              </w:rPr>
              <w:t>协勤</w:t>
            </w:r>
            <w:r>
              <w:rPr>
                <w:rFonts w:hint="eastAsia" w:asciiTheme="minorEastAsia" w:hAnsiTheme="minorEastAsia" w:eastAsiaTheme="minorEastAsia" w:cstheme="minorEastAsia"/>
                <w:color w:val="000000"/>
                <w:sz w:val="20"/>
                <w:szCs w:val="20"/>
                <w:highlight w:val="none"/>
                <w:lang w:eastAsia="zh-CN"/>
              </w:rPr>
              <w:t>人员的工资按相关约定发放。包括</w:t>
            </w:r>
            <w:r>
              <w:rPr>
                <w:rFonts w:hint="eastAsia" w:asciiTheme="minorEastAsia" w:hAnsiTheme="minorEastAsia" w:eastAsiaTheme="minorEastAsia" w:cstheme="minorEastAsia"/>
                <w:color w:val="000000"/>
                <w:sz w:val="20"/>
                <w:szCs w:val="20"/>
                <w:highlight w:val="none"/>
                <w:lang w:val="en-US" w:eastAsia="zh-CN"/>
              </w:rPr>
              <w:t>人身</w:t>
            </w:r>
            <w:r>
              <w:rPr>
                <w:rFonts w:hint="eastAsia" w:asciiTheme="minorEastAsia" w:hAnsiTheme="minorEastAsia" w:eastAsiaTheme="minorEastAsia" w:cstheme="minorEastAsia"/>
                <w:color w:val="000000"/>
                <w:sz w:val="20"/>
                <w:szCs w:val="20"/>
                <w:highlight w:val="none"/>
                <w:lang w:eastAsia="zh-CN"/>
              </w:rPr>
              <w:t>意外保险、工伤保险、医疗保险、社会保险、高温补贴费等，其费用必须符合现行东莞市政府的最新相关规定。否则，采购人有权从中标人的服务费中按有关缴费额扣减。</w:t>
            </w:r>
          </w:p>
          <w:p w14:paraId="5BBB6A21">
            <w:pPr>
              <w:pStyle w:val="8"/>
              <w:keepNext w:val="0"/>
              <w:keepLines w:val="0"/>
              <w:pageBreakBefore w:val="0"/>
              <w:kinsoku/>
              <w:overflowPunct/>
              <w:topLinePunct w:val="0"/>
              <w:autoSpaceDE/>
              <w:autoSpaceDN/>
              <w:bidi w:val="0"/>
              <w:adjustRightInd/>
              <w:snapToGrid/>
              <w:spacing w:line="240" w:lineRule="auto"/>
              <w:ind w:firstLine="400" w:firstLineChars="200"/>
              <w:jc w:val="both"/>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color w:val="auto"/>
                <w:sz w:val="20"/>
                <w:szCs w:val="20"/>
                <w:highlight w:val="none"/>
                <w:lang w:eastAsia="zh-CN"/>
              </w:rPr>
              <w:t>如有辞职或被辞退的人员，中标人应按相关规定办理有关手续后，报采购人备案。</w:t>
            </w:r>
          </w:p>
        </w:tc>
      </w:tr>
      <w:tr w14:paraId="5D339F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361" w:type="pct"/>
            <w:noWrap w:val="0"/>
            <w:vAlign w:val="top"/>
          </w:tcPr>
          <w:p w14:paraId="23E966AC">
            <w:pPr>
              <w:keepNext w:val="0"/>
              <w:keepLines w:val="0"/>
              <w:pageBreakBefore w:val="0"/>
              <w:kinsoku/>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0"/>
                <w:szCs w:val="20"/>
                <w:highlight w:val="none"/>
              </w:rPr>
            </w:pPr>
          </w:p>
        </w:tc>
        <w:tc>
          <w:tcPr>
            <w:tcW w:w="312" w:type="pct"/>
            <w:noWrap w:val="0"/>
            <w:vAlign w:val="top"/>
          </w:tcPr>
          <w:p w14:paraId="1A9CFEC9">
            <w:pPr>
              <w:pStyle w:val="8"/>
              <w:keepNext w:val="0"/>
              <w:keepLines w:val="0"/>
              <w:pageBreakBefore w:val="0"/>
              <w:kinsoku/>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0"/>
                <w:szCs w:val="20"/>
                <w:highlight w:val="none"/>
                <w:lang w:val="en-US" w:eastAsia="zh-CN"/>
              </w:rPr>
            </w:pPr>
            <w:r>
              <w:rPr>
                <w:rFonts w:hint="eastAsia" w:asciiTheme="minorEastAsia" w:hAnsiTheme="minorEastAsia" w:eastAsiaTheme="minorEastAsia" w:cstheme="minorEastAsia"/>
                <w:sz w:val="20"/>
                <w:szCs w:val="20"/>
                <w:highlight w:val="none"/>
                <w:lang w:val="en-US" w:eastAsia="zh-CN"/>
              </w:rPr>
              <w:t>6</w:t>
            </w:r>
          </w:p>
        </w:tc>
        <w:tc>
          <w:tcPr>
            <w:tcW w:w="4326" w:type="pct"/>
            <w:noWrap w:val="0"/>
            <w:vAlign w:val="top"/>
          </w:tcPr>
          <w:p w14:paraId="3B2E40B0">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40" w:lineRule="auto"/>
              <w:textAlignment w:val="auto"/>
              <w:rPr>
                <w:rFonts w:hint="eastAsia" w:asciiTheme="minorEastAsia" w:hAnsiTheme="minorEastAsia" w:eastAsiaTheme="minorEastAsia" w:cstheme="minorEastAsia"/>
                <w:b/>
                <w:bCs/>
                <w:color w:val="auto"/>
                <w:sz w:val="20"/>
                <w:szCs w:val="20"/>
                <w:highlight w:val="none"/>
                <w:lang w:eastAsia="zh-CN"/>
              </w:rPr>
            </w:pPr>
            <w:r>
              <w:rPr>
                <w:rFonts w:hint="eastAsia" w:asciiTheme="minorEastAsia" w:hAnsiTheme="minorEastAsia" w:eastAsiaTheme="minorEastAsia" w:cstheme="minorEastAsia"/>
                <w:b/>
                <w:bCs/>
                <w:color w:val="auto"/>
                <w:sz w:val="20"/>
                <w:szCs w:val="20"/>
                <w:highlight w:val="none"/>
                <w:lang w:val="en-US" w:eastAsia="zh-CN"/>
              </w:rPr>
              <w:t>（六）配套</w:t>
            </w:r>
            <w:r>
              <w:rPr>
                <w:rFonts w:hint="eastAsia" w:asciiTheme="minorEastAsia" w:hAnsiTheme="minorEastAsia" w:eastAsiaTheme="minorEastAsia" w:cstheme="minorEastAsia"/>
                <w:b/>
                <w:bCs/>
                <w:color w:val="auto"/>
                <w:sz w:val="20"/>
                <w:szCs w:val="20"/>
                <w:highlight w:val="none"/>
                <w:lang w:eastAsia="zh-CN"/>
              </w:rPr>
              <w:t>设备要求</w:t>
            </w:r>
          </w:p>
          <w:tbl>
            <w:tblPr>
              <w:tblStyle w:val="6"/>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6"/>
              <w:gridCol w:w="3392"/>
              <w:gridCol w:w="2796"/>
            </w:tblGrid>
            <w:tr w14:paraId="0002B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69" w:type="pct"/>
                  <w:noWrap w:val="0"/>
                  <w:vAlign w:val="center"/>
                </w:tcPr>
                <w:p w14:paraId="6BEE2BB2">
                  <w:pPr>
                    <w:keepNext w:val="0"/>
                    <w:keepLines w:val="0"/>
                    <w:pageBreakBefore w:val="0"/>
                    <w:kinsoku/>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0"/>
                      <w:szCs w:val="20"/>
                      <w:highlight w:val="none"/>
                      <w:vertAlign w:val="baseline"/>
                      <w:lang w:val="en-US" w:eastAsia="zh-CN"/>
                    </w:rPr>
                  </w:pPr>
                  <w:r>
                    <w:rPr>
                      <w:rFonts w:hint="eastAsia" w:asciiTheme="minorEastAsia" w:hAnsiTheme="minorEastAsia" w:eastAsiaTheme="minorEastAsia" w:cstheme="minorEastAsia"/>
                      <w:b/>
                      <w:bCs/>
                      <w:color w:val="auto"/>
                      <w:sz w:val="20"/>
                      <w:szCs w:val="20"/>
                      <w:highlight w:val="none"/>
                      <w:vertAlign w:val="baseline"/>
                      <w:lang w:val="en-US" w:eastAsia="zh-CN"/>
                    </w:rPr>
                    <w:t>序号</w:t>
                  </w:r>
                </w:p>
              </w:tc>
              <w:tc>
                <w:tcPr>
                  <w:tcW w:w="2373" w:type="pct"/>
                  <w:noWrap w:val="0"/>
                  <w:vAlign w:val="center"/>
                </w:tcPr>
                <w:p w14:paraId="20FD489E">
                  <w:pPr>
                    <w:keepNext w:val="0"/>
                    <w:keepLines w:val="0"/>
                    <w:pageBreakBefore w:val="0"/>
                    <w:kinsoku/>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0"/>
                      <w:szCs w:val="20"/>
                      <w:highlight w:val="none"/>
                      <w:vertAlign w:val="baseline"/>
                      <w:lang w:val="en-US" w:eastAsia="zh-CN" w:bidi="ar-SA"/>
                    </w:rPr>
                  </w:pPr>
                  <w:r>
                    <w:rPr>
                      <w:rFonts w:hint="eastAsia" w:asciiTheme="minorEastAsia" w:hAnsiTheme="minorEastAsia" w:eastAsiaTheme="minorEastAsia" w:cstheme="minorEastAsia"/>
                      <w:b/>
                      <w:bCs/>
                      <w:color w:val="auto"/>
                      <w:sz w:val="20"/>
                      <w:szCs w:val="20"/>
                      <w:highlight w:val="none"/>
                      <w:vertAlign w:val="baseline"/>
                      <w:lang w:val="en-US" w:eastAsia="zh-CN"/>
                    </w:rPr>
                    <w:t>设备类型</w:t>
                  </w:r>
                </w:p>
              </w:tc>
              <w:tc>
                <w:tcPr>
                  <w:tcW w:w="1956" w:type="pct"/>
                  <w:noWrap w:val="0"/>
                  <w:vAlign w:val="center"/>
                </w:tcPr>
                <w:p w14:paraId="2C99849A">
                  <w:pPr>
                    <w:keepNext w:val="0"/>
                    <w:keepLines w:val="0"/>
                    <w:pageBreakBefore w:val="0"/>
                    <w:kinsoku/>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0"/>
                      <w:szCs w:val="20"/>
                      <w:highlight w:val="none"/>
                      <w:vertAlign w:val="baseline"/>
                      <w:lang w:val="en-US" w:eastAsia="zh-CN"/>
                    </w:rPr>
                  </w:pPr>
                  <w:r>
                    <w:rPr>
                      <w:rFonts w:hint="eastAsia" w:asciiTheme="minorEastAsia" w:hAnsiTheme="minorEastAsia" w:eastAsiaTheme="minorEastAsia" w:cstheme="minorEastAsia"/>
                      <w:b/>
                      <w:bCs/>
                      <w:color w:val="auto"/>
                      <w:sz w:val="20"/>
                      <w:szCs w:val="20"/>
                      <w:highlight w:val="none"/>
                      <w:vertAlign w:val="baseline"/>
                      <w:lang w:val="en-US" w:eastAsia="zh-CN"/>
                    </w:rPr>
                    <w:t>数量</w:t>
                  </w:r>
                </w:p>
              </w:tc>
            </w:tr>
            <w:tr w14:paraId="4FBA7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69" w:type="pct"/>
                  <w:noWrap w:val="0"/>
                  <w:vAlign w:val="center"/>
                </w:tcPr>
                <w:p w14:paraId="532FF688">
                  <w:pPr>
                    <w:keepNext w:val="0"/>
                    <w:keepLines w:val="0"/>
                    <w:pageBreakBefore w:val="0"/>
                    <w:kinsoku/>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0"/>
                      <w:szCs w:val="20"/>
                      <w:highlight w:val="none"/>
                      <w:vertAlign w:val="baseline"/>
                      <w:lang w:val="en-US" w:eastAsia="zh-CN"/>
                    </w:rPr>
                  </w:pPr>
                  <w:r>
                    <w:rPr>
                      <w:rFonts w:hint="eastAsia" w:asciiTheme="minorEastAsia" w:hAnsiTheme="minorEastAsia" w:eastAsiaTheme="minorEastAsia" w:cstheme="minorEastAsia"/>
                      <w:color w:val="auto"/>
                      <w:sz w:val="20"/>
                      <w:szCs w:val="20"/>
                      <w:highlight w:val="none"/>
                      <w:vertAlign w:val="baseline"/>
                      <w:lang w:val="en-US" w:eastAsia="zh-CN"/>
                    </w:rPr>
                    <w:t>1</w:t>
                  </w:r>
                </w:p>
              </w:tc>
              <w:tc>
                <w:tcPr>
                  <w:tcW w:w="2373" w:type="pct"/>
                  <w:noWrap w:val="0"/>
                  <w:vAlign w:val="center"/>
                </w:tcPr>
                <w:p w14:paraId="72A990DE">
                  <w:pPr>
                    <w:keepNext w:val="0"/>
                    <w:keepLines w:val="0"/>
                    <w:pageBreakBefore w:val="0"/>
                    <w:kinsoku/>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0"/>
                      <w:szCs w:val="20"/>
                      <w:highlight w:val="none"/>
                      <w:lang w:val="en-US" w:eastAsia="zh-CN" w:bidi="ar-SA"/>
                    </w:rPr>
                  </w:pPr>
                  <w:r>
                    <w:rPr>
                      <w:rFonts w:hint="eastAsia" w:asciiTheme="minorEastAsia" w:hAnsiTheme="minorEastAsia" w:eastAsiaTheme="minorEastAsia" w:cstheme="minorEastAsia"/>
                      <w:color w:val="auto"/>
                      <w:sz w:val="20"/>
                      <w:szCs w:val="20"/>
                      <w:highlight w:val="none"/>
                      <w:lang w:val="en-US" w:eastAsia="zh-CN" w:bidi="ar-SA"/>
                    </w:rPr>
                    <w:t>最新的执法对讲一体的执法记录仪</w:t>
                  </w:r>
                </w:p>
              </w:tc>
              <w:tc>
                <w:tcPr>
                  <w:tcW w:w="1956" w:type="pct"/>
                  <w:noWrap w:val="0"/>
                  <w:vAlign w:val="center"/>
                </w:tcPr>
                <w:p w14:paraId="7D66087C">
                  <w:pPr>
                    <w:keepNext w:val="0"/>
                    <w:keepLines w:val="0"/>
                    <w:pageBreakBefore w:val="0"/>
                    <w:kinsoku/>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0"/>
                      <w:szCs w:val="20"/>
                      <w:highlight w:val="none"/>
                      <w:vertAlign w:val="baseline"/>
                      <w:lang w:val="en-US" w:eastAsia="zh-CN"/>
                    </w:rPr>
                  </w:pPr>
                  <w:r>
                    <w:rPr>
                      <w:rFonts w:hint="eastAsia" w:asciiTheme="minorEastAsia" w:hAnsiTheme="minorEastAsia" w:eastAsiaTheme="minorEastAsia" w:cstheme="minorEastAsia"/>
                      <w:color w:val="auto"/>
                      <w:sz w:val="20"/>
                      <w:szCs w:val="20"/>
                      <w:highlight w:val="none"/>
                      <w:lang w:val="en-US" w:eastAsia="zh-CN" w:bidi="ar-SA"/>
                    </w:rPr>
                    <w:t>10台</w:t>
                  </w:r>
                </w:p>
              </w:tc>
            </w:tr>
          </w:tbl>
          <w:p w14:paraId="274E4BDA">
            <w:pPr>
              <w:pStyle w:val="8"/>
              <w:keepNext w:val="0"/>
              <w:keepLines w:val="0"/>
              <w:pageBreakBefore w:val="0"/>
              <w:kinsoku/>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sz w:val="20"/>
                <w:szCs w:val="20"/>
                <w:highlight w:val="none"/>
              </w:rPr>
            </w:pPr>
          </w:p>
        </w:tc>
      </w:tr>
      <w:tr w14:paraId="227811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1" w:type="pct"/>
            <w:noWrap w:val="0"/>
            <w:vAlign w:val="top"/>
          </w:tcPr>
          <w:p w14:paraId="36383BF2">
            <w:pPr>
              <w:keepNext w:val="0"/>
              <w:keepLines w:val="0"/>
              <w:pageBreakBefore w:val="0"/>
              <w:kinsoku/>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0"/>
                <w:szCs w:val="20"/>
                <w:highlight w:val="none"/>
              </w:rPr>
            </w:pPr>
          </w:p>
        </w:tc>
        <w:tc>
          <w:tcPr>
            <w:tcW w:w="312" w:type="pct"/>
            <w:noWrap w:val="0"/>
            <w:vAlign w:val="top"/>
          </w:tcPr>
          <w:p w14:paraId="29489455">
            <w:pPr>
              <w:pStyle w:val="8"/>
              <w:keepNext w:val="0"/>
              <w:keepLines w:val="0"/>
              <w:pageBreakBefore w:val="0"/>
              <w:kinsoku/>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0"/>
                <w:szCs w:val="20"/>
                <w:highlight w:val="none"/>
                <w:lang w:val="en-US" w:eastAsia="zh-CN"/>
              </w:rPr>
            </w:pPr>
            <w:r>
              <w:rPr>
                <w:rFonts w:hint="eastAsia" w:asciiTheme="minorEastAsia" w:hAnsiTheme="minorEastAsia" w:eastAsiaTheme="minorEastAsia" w:cstheme="minorEastAsia"/>
                <w:sz w:val="20"/>
                <w:szCs w:val="20"/>
                <w:highlight w:val="none"/>
                <w:lang w:val="en-US" w:eastAsia="zh-CN"/>
              </w:rPr>
              <w:t>7</w:t>
            </w:r>
          </w:p>
        </w:tc>
        <w:tc>
          <w:tcPr>
            <w:tcW w:w="4326" w:type="pct"/>
            <w:noWrap w:val="0"/>
            <w:vAlign w:val="top"/>
          </w:tcPr>
          <w:p w14:paraId="2586B2F0">
            <w:pPr>
              <w:pStyle w:val="8"/>
              <w:keepNext w:val="0"/>
              <w:keepLines w:val="0"/>
              <w:pageBreakBefore w:val="0"/>
              <w:kinsoku/>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bCs/>
                <w:sz w:val="20"/>
                <w:szCs w:val="20"/>
                <w:highlight w:val="none"/>
              </w:rPr>
            </w:pPr>
            <w:r>
              <w:rPr>
                <w:rFonts w:hint="eastAsia" w:asciiTheme="minorEastAsia" w:hAnsiTheme="minorEastAsia" w:eastAsiaTheme="minorEastAsia" w:cstheme="minorEastAsia"/>
                <w:b/>
                <w:bCs/>
                <w:sz w:val="20"/>
                <w:szCs w:val="20"/>
                <w:highlight w:val="none"/>
              </w:rPr>
              <w:t>（七）工作时间</w:t>
            </w:r>
          </w:p>
          <w:p w14:paraId="27E26563">
            <w:pPr>
              <w:pStyle w:val="8"/>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（1）中标人需对服务范围内进行有效管理，工作时间为7:00至22:00，共16个小时；每天每人在岗时间维持在8至10小时。每天班次安排由采购人根据工作需要随时调整，中标人须无条件接受。</w:t>
            </w:r>
          </w:p>
          <w:p w14:paraId="3E69636E">
            <w:pPr>
              <w:pStyle w:val="8"/>
              <w:keepNext w:val="0"/>
              <w:keepLines w:val="0"/>
              <w:pageBreakBefore w:val="0"/>
              <w:kinsoku/>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2）节假日需正常上班，如有人员调休调假的，中标人自行安排符合本合同岗位要求的人员顶班。如因采购人工作需要提出要求中标人协勤人员加班的，中标人必须积极配合,由此产生的加班费由中标人自行承担。</w:t>
            </w:r>
          </w:p>
        </w:tc>
      </w:tr>
      <w:tr w14:paraId="5EA44B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1" w:type="pct"/>
            <w:noWrap w:val="0"/>
            <w:vAlign w:val="top"/>
          </w:tcPr>
          <w:p w14:paraId="552F6E6C">
            <w:pPr>
              <w:keepNext w:val="0"/>
              <w:keepLines w:val="0"/>
              <w:pageBreakBefore w:val="0"/>
              <w:kinsoku/>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0"/>
                <w:szCs w:val="20"/>
                <w:highlight w:val="none"/>
              </w:rPr>
            </w:pPr>
          </w:p>
        </w:tc>
        <w:tc>
          <w:tcPr>
            <w:tcW w:w="312" w:type="pct"/>
            <w:noWrap w:val="0"/>
            <w:vAlign w:val="top"/>
          </w:tcPr>
          <w:p w14:paraId="4925EE02">
            <w:pPr>
              <w:pStyle w:val="8"/>
              <w:keepNext w:val="0"/>
              <w:keepLines w:val="0"/>
              <w:pageBreakBefore w:val="0"/>
              <w:kinsoku/>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0"/>
                <w:szCs w:val="20"/>
                <w:highlight w:val="none"/>
                <w:lang w:val="en-US" w:eastAsia="zh-CN"/>
              </w:rPr>
            </w:pPr>
            <w:r>
              <w:rPr>
                <w:rFonts w:hint="eastAsia" w:asciiTheme="minorEastAsia" w:hAnsiTheme="minorEastAsia" w:eastAsiaTheme="minorEastAsia" w:cstheme="minorEastAsia"/>
                <w:sz w:val="20"/>
                <w:szCs w:val="20"/>
                <w:highlight w:val="none"/>
                <w:lang w:val="en-US" w:eastAsia="zh-CN"/>
              </w:rPr>
              <w:t>8</w:t>
            </w:r>
          </w:p>
        </w:tc>
        <w:tc>
          <w:tcPr>
            <w:tcW w:w="4326" w:type="pct"/>
            <w:noWrap w:val="0"/>
            <w:vAlign w:val="top"/>
          </w:tcPr>
          <w:p w14:paraId="4CE949BE">
            <w:pPr>
              <w:pStyle w:val="8"/>
              <w:keepNext w:val="0"/>
              <w:keepLines w:val="0"/>
              <w:pageBreakBefore w:val="0"/>
              <w:kinsoku/>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bCs/>
                <w:sz w:val="20"/>
                <w:szCs w:val="20"/>
                <w:highlight w:val="none"/>
              </w:rPr>
            </w:pPr>
            <w:r>
              <w:rPr>
                <w:rFonts w:hint="eastAsia" w:asciiTheme="minorEastAsia" w:hAnsiTheme="minorEastAsia" w:eastAsiaTheme="minorEastAsia" w:cstheme="minorEastAsia"/>
                <w:b/>
                <w:bCs/>
                <w:sz w:val="20"/>
                <w:szCs w:val="20"/>
                <w:highlight w:val="none"/>
              </w:rPr>
              <w:t>（八）轮换机制</w:t>
            </w:r>
          </w:p>
          <w:p w14:paraId="132056C4">
            <w:pPr>
              <w:pStyle w:val="8"/>
              <w:keepNext w:val="0"/>
              <w:keepLines w:val="0"/>
              <w:pageBreakBefore w:val="0"/>
              <w:kinsoku/>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中标人提供的协勤人员须每季度全部轮换一次，将人员名单提交采购人备案，并按采购人要求提前参加城市管理执法协管服务培训，熟悉服务内容，掌握服务标准，培训考核合格后方可上岗。中标人还须对协勤人员进行相关专业技能培训，确保协勤人员能妥善应对执法过程中突发事件。</w:t>
            </w:r>
          </w:p>
        </w:tc>
      </w:tr>
      <w:tr w14:paraId="17295F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1" w:type="pct"/>
            <w:noWrap w:val="0"/>
            <w:vAlign w:val="top"/>
          </w:tcPr>
          <w:p w14:paraId="6CF7ABDB">
            <w:pPr>
              <w:keepNext w:val="0"/>
              <w:keepLines w:val="0"/>
              <w:pageBreakBefore w:val="0"/>
              <w:kinsoku/>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0"/>
                <w:szCs w:val="20"/>
                <w:highlight w:val="none"/>
              </w:rPr>
            </w:pPr>
          </w:p>
        </w:tc>
        <w:tc>
          <w:tcPr>
            <w:tcW w:w="312" w:type="pct"/>
            <w:noWrap w:val="0"/>
            <w:vAlign w:val="top"/>
          </w:tcPr>
          <w:p w14:paraId="18B13F65">
            <w:pPr>
              <w:pStyle w:val="8"/>
              <w:keepNext w:val="0"/>
              <w:keepLines w:val="0"/>
              <w:pageBreakBefore w:val="0"/>
              <w:kinsoku/>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0"/>
                <w:szCs w:val="20"/>
                <w:highlight w:val="none"/>
                <w:lang w:val="en-US" w:eastAsia="zh-CN"/>
              </w:rPr>
            </w:pPr>
            <w:r>
              <w:rPr>
                <w:rFonts w:hint="eastAsia" w:asciiTheme="minorEastAsia" w:hAnsiTheme="minorEastAsia" w:eastAsiaTheme="minorEastAsia" w:cstheme="minorEastAsia"/>
                <w:sz w:val="20"/>
                <w:szCs w:val="20"/>
                <w:highlight w:val="none"/>
                <w:lang w:val="en-US" w:eastAsia="zh-CN"/>
              </w:rPr>
              <w:t>9</w:t>
            </w:r>
          </w:p>
        </w:tc>
        <w:tc>
          <w:tcPr>
            <w:tcW w:w="4326" w:type="pct"/>
            <w:noWrap w:val="0"/>
            <w:vAlign w:val="top"/>
          </w:tcPr>
          <w:p w14:paraId="32F6A2F8">
            <w:pPr>
              <w:pStyle w:val="8"/>
              <w:keepNext w:val="0"/>
              <w:keepLines w:val="0"/>
              <w:pageBreakBefore w:val="0"/>
              <w:kinsoku/>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bCs/>
                <w:sz w:val="20"/>
                <w:szCs w:val="20"/>
                <w:highlight w:val="none"/>
              </w:rPr>
            </w:pPr>
            <w:r>
              <w:rPr>
                <w:rFonts w:hint="eastAsia" w:asciiTheme="minorEastAsia" w:hAnsiTheme="minorEastAsia" w:eastAsiaTheme="minorEastAsia" w:cstheme="minorEastAsia"/>
                <w:b/>
                <w:bCs/>
                <w:sz w:val="20"/>
                <w:szCs w:val="20"/>
                <w:highlight w:val="none"/>
              </w:rPr>
              <w:t>（九）考核标准</w:t>
            </w:r>
          </w:p>
          <w:p w14:paraId="2D55E398">
            <w:pPr>
              <w:pStyle w:val="8"/>
              <w:keepNext w:val="0"/>
              <w:keepLines w:val="0"/>
              <w:pageBreakBefore w:val="0"/>
              <w:kinsoku/>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采购人每天安排专人对中标人进行现场考核。服务期间发现存在违反约定的内容或违章行为的，经查证核实，采购人有权按照《协勤人员协助城市管理服务考评标准表》（详见附件一）在服务费用中扣除相应款项；在服务期内累计发现10宗及以上或者一天内发现3宗及以上的，采购人与相关协勤人员以及中标人负责人进行约谈，中标人拒不改进或无正当理由不能按采购人要求改进的，采购人有权解除合同，追究中标人违约责任；采购人亦有权不进行约谈，直接解除合同，追究中标人违约责任。</w:t>
            </w:r>
          </w:p>
        </w:tc>
      </w:tr>
      <w:tr w14:paraId="6F986D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1" w:type="pct"/>
            <w:noWrap w:val="0"/>
            <w:vAlign w:val="top"/>
          </w:tcPr>
          <w:p w14:paraId="2D09F244">
            <w:pPr>
              <w:keepNext w:val="0"/>
              <w:keepLines w:val="0"/>
              <w:pageBreakBefore w:val="0"/>
              <w:kinsoku/>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0"/>
                <w:szCs w:val="20"/>
                <w:highlight w:val="none"/>
              </w:rPr>
            </w:pPr>
          </w:p>
        </w:tc>
        <w:tc>
          <w:tcPr>
            <w:tcW w:w="312" w:type="pct"/>
            <w:noWrap w:val="0"/>
            <w:vAlign w:val="top"/>
          </w:tcPr>
          <w:p w14:paraId="4528005B">
            <w:pPr>
              <w:pStyle w:val="8"/>
              <w:keepNext w:val="0"/>
              <w:keepLines w:val="0"/>
              <w:pageBreakBefore w:val="0"/>
              <w:kinsoku/>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0"/>
                <w:szCs w:val="20"/>
                <w:highlight w:val="none"/>
                <w:lang w:val="en-US" w:eastAsia="zh-CN"/>
              </w:rPr>
            </w:pPr>
            <w:r>
              <w:rPr>
                <w:rFonts w:hint="eastAsia" w:asciiTheme="minorEastAsia" w:hAnsiTheme="minorEastAsia" w:eastAsiaTheme="minorEastAsia" w:cstheme="minorEastAsia"/>
                <w:sz w:val="20"/>
                <w:szCs w:val="20"/>
                <w:highlight w:val="none"/>
                <w:lang w:val="en-US" w:eastAsia="zh-CN"/>
              </w:rPr>
              <w:t>10</w:t>
            </w:r>
          </w:p>
        </w:tc>
        <w:tc>
          <w:tcPr>
            <w:tcW w:w="4326" w:type="pct"/>
            <w:noWrap w:val="0"/>
            <w:vAlign w:val="top"/>
          </w:tcPr>
          <w:p w14:paraId="62BFFF9B">
            <w:pPr>
              <w:pStyle w:val="8"/>
              <w:keepNext w:val="0"/>
              <w:keepLines w:val="0"/>
              <w:pageBreakBefore w:val="0"/>
              <w:kinsoku/>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bCs/>
                <w:sz w:val="20"/>
                <w:szCs w:val="20"/>
                <w:highlight w:val="none"/>
              </w:rPr>
            </w:pPr>
            <w:r>
              <w:rPr>
                <w:rFonts w:hint="eastAsia" w:asciiTheme="minorEastAsia" w:hAnsiTheme="minorEastAsia" w:eastAsiaTheme="minorEastAsia" w:cstheme="minorEastAsia"/>
                <w:b/>
                <w:bCs/>
                <w:sz w:val="20"/>
                <w:szCs w:val="20"/>
                <w:highlight w:val="none"/>
              </w:rPr>
              <w:t>（十）其他要求</w:t>
            </w:r>
          </w:p>
          <w:p w14:paraId="3A88FB28">
            <w:pPr>
              <w:pStyle w:val="8"/>
              <w:keepNext w:val="0"/>
              <w:keepLines w:val="0"/>
              <w:pageBreakBefore w:val="0"/>
              <w:kinsoku/>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（1）投标人应根据采购要求，在投标文件中提供切实可行的实施服务方案。</w:t>
            </w:r>
          </w:p>
          <w:p w14:paraId="6BA04B8D">
            <w:pPr>
              <w:pStyle w:val="8"/>
              <w:keepNext w:val="0"/>
              <w:keepLines w:val="0"/>
              <w:pageBreakBefore w:val="0"/>
              <w:kinsoku/>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（2）中标人在实施服务过程中必须采取足够的安全措施，确保工作的安全，并自行负责相关安全责任。</w:t>
            </w:r>
          </w:p>
          <w:p w14:paraId="081388B2">
            <w:pPr>
              <w:pStyle w:val="8"/>
              <w:keepNext w:val="0"/>
              <w:keepLines w:val="0"/>
              <w:pageBreakBefore w:val="0"/>
              <w:kinsoku/>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（3）本项目合同服务期间需要购置必要少量的装备（包括：绳子、麻袋、帆布、反光条等）时由中标人购买，采购人不再另行支付。</w:t>
            </w:r>
          </w:p>
          <w:p w14:paraId="638E5EF5">
            <w:pPr>
              <w:pStyle w:val="8"/>
              <w:keepNext w:val="0"/>
              <w:keepLines w:val="0"/>
              <w:pageBreakBefore w:val="0"/>
              <w:kinsoku/>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（4）项目未尽事宜将在采购合同中另行约定，中标人需无条件同意采购人基于为顺利完成本项目所提出的各项合理要求。</w:t>
            </w:r>
          </w:p>
        </w:tc>
      </w:tr>
      <w:tr w14:paraId="50BB1F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1" w:type="pct"/>
            <w:noWrap w:val="0"/>
            <w:vAlign w:val="top"/>
          </w:tcPr>
          <w:p w14:paraId="15AF370B">
            <w:pPr>
              <w:keepNext w:val="0"/>
              <w:keepLines w:val="0"/>
              <w:pageBreakBefore w:val="0"/>
              <w:kinsoku/>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0"/>
                <w:szCs w:val="20"/>
                <w:highlight w:val="none"/>
              </w:rPr>
            </w:pPr>
          </w:p>
        </w:tc>
        <w:tc>
          <w:tcPr>
            <w:tcW w:w="312" w:type="pct"/>
            <w:noWrap w:val="0"/>
            <w:vAlign w:val="top"/>
          </w:tcPr>
          <w:p w14:paraId="33577F8F">
            <w:pPr>
              <w:pStyle w:val="8"/>
              <w:keepNext w:val="0"/>
              <w:keepLines w:val="0"/>
              <w:pageBreakBefore w:val="0"/>
              <w:kinsoku/>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0"/>
                <w:szCs w:val="20"/>
                <w:highlight w:val="none"/>
                <w:lang w:val="en-US" w:eastAsia="zh-CN"/>
              </w:rPr>
            </w:pPr>
            <w:r>
              <w:rPr>
                <w:rFonts w:hint="eastAsia" w:asciiTheme="minorEastAsia" w:hAnsiTheme="minorEastAsia" w:eastAsiaTheme="minorEastAsia" w:cstheme="minorEastAsia"/>
                <w:sz w:val="20"/>
                <w:szCs w:val="20"/>
                <w:highlight w:val="none"/>
                <w:lang w:val="en-US" w:eastAsia="zh-CN"/>
              </w:rPr>
              <w:t>11</w:t>
            </w:r>
          </w:p>
        </w:tc>
        <w:tc>
          <w:tcPr>
            <w:tcW w:w="4326" w:type="pct"/>
            <w:noWrap w:val="0"/>
            <w:vAlign w:val="top"/>
          </w:tcPr>
          <w:p w14:paraId="1FCFA1E2">
            <w:pPr>
              <w:keepNext w:val="0"/>
              <w:keepLines w:val="0"/>
              <w:pageBreakBefore w:val="0"/>
              <w:widowControl w:val="0"/>
              <w:kinsoku/>
              <w:wordWrap/>
              <w:overflowPunct/>
              <w:topLinePunct w:val="0"/>
              <w:autoSpaceDE/>
              <w:autoSpaceDN/>
              <w:bidi w:val="0"/>
              <w:adjustRightInd/>
              <w:snapToGrid/>
              <w:spacing w:beforeLines="0" w:afterLines="0" w:line="360" w:lineRule="auto"/>
              <w:jc w:val="both"/>
              <w:textAlignment w:val="auto"/>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lang w:eastAsia="zh-CN"/>
              </w:rPr>
              <w:t>附件一：《协勤</w:t>
            </w:r>
            <w:r>
              <w:rPr>
                <w:rFonts w:hint="eastAsia" w:asciiTheme="minorEastAsia" w:hAnsiTheme="minorEastAsia" w:eastAsiaTheme="minorEastAsia" w:cstheme="minorEastAsia"/>
                <w:color w:val="auto"/>
                <w:sz w:val="20"/>
                <w:szCs w:val="20"/>
                <w:highlight w:val="none"/>
              </w:rPr>
              <w:t>人员协助城市管理服务考评标准表</w:t>
            </w:r>
            <w:r>
              <w:rPr>
                <w:rFonts w:hint="eastAsia" w:asciiTheme="minorEastAsia" w:hAnsiTheme="minorEastAsia" w:eastAsiaTheme="minorEastAsia" w:cstheme="minorEastAsia"/>
                <w:color w:val="auto"/>
                <w:sz w:val="20"/>
                <w:szCs w:val="20"/>
                <w:highlight w:val="none"/>
                <w:lang w:eastAsia="zh-CN"/>
              </w:rPr>
              <w:t>》</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6"/>
              <w:gridCol w:w="3845"/>
              <w:gridCol w:w="1466"/>
              <w:gridCol w:w="1065"/>
            </w:tblGrid>
            <w:tr w14:paraId="1F68F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6" w:type="pct"/>
                  <w:noWrap w:val="0"/>
                  <w:vAlign w:val="center"/>
                </w:tcPr>
                <w:p w14:paraId="5A452A4F">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考核项目</w:t>
                  </w:r>
                </w:p>
              </w:tc>
              <w:tc>
                <w:tcPr>
                  <w:tcW w:w="2691" w:type="pct"/>
                  <w:noWrap w:val="0"/>
                  <w:vAlign w:val="center"/>
                </w:tcPr>
                <w:p w14:paraId="53978133">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考核内容</w:t>
                  </w:r>
                </w:p>
              </w:tc>
              <w:tc>
                <w:tcPr>
                  <w:tcW w:w="1026" w:type="pct"/>
                  <w:noWrap w:val="0"/>
                  <w:vAlign w:val="center"/>
                </w:tcPr>
                <w:p w14:paraId="24C3F71B">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扣款标准</w:t>
                  </w:r>
                </w:p>
              </w:tc>
              <w:tc>
                <w:tcPr>
                  <w:tcW w:w="745" w:type="pct"/>
                  <w:noWrap w:val="0"/>
                  <w:vAlign w:val="center"/>
                </w:tcPr>
                <w:p w14:paraId="0ADAB9BE">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备注</w:t>
                  </w:r>
                </w:p>
              </w:tc>
            </w:tr>
            <w:tr w14:paraId="7987C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6" w:type="pct"/>
                  <w:vMerge w:val="restart"/>
                  <w:noWrap w:val="0"/>
                  <w:vAlign w:val="center"/>
                </w:tcPr>
                <w:p w14:paraId="3622636C">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一、队伍建设</w:t>
                  </w:r>
                </w:p>
              </w:tc>
              <w:tc>
                <w:tcPr>
                  <w:tcW w:w="2691" w:type="pct"/>
                  <w:noWrap w:val="0"/>
                  <w:vAlign w:val="center"/>
                </w:tcPr>
                <w:p w14:paraId="76E8272C">
                  <w:pPr>
                    <w:pStyle w:val="9"/>
                    <w:adjustRightInd w:val="0"/>
                    <w:spacing w:line="240" w:lineRule="auto"/>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1、无办公场所的</w:t>
                  </w:r>
                </w:p>
              </w:tc>
              <w:tc>
                <w:tcPr>
                  <w:tcW w:w="1026" w:type="pct"/>
                  <w:noWrap w:val="0"/>
                  <w:vAlign w:val="center"/>
                </w:tcPr>
                <w:p w14:paraId="2268F125">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5000元</w:t>
                  </w:r>
                </w:p>
              </w:tc>
              <w:tc>
                <w:tcPr>
                  <w:tcW w:w="745" w:type="pct"/>
                  <w:noWrap w:val="0"/>
                  <w:vAlign w:val="center"/>
                </w:tcPr>
                <w:p w14:paraId="65531665">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p>
              </w:tc>
            </w:tr>
            <w:tr w14:paraId="54DCF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6" w:type="pct"/>
                  <w:vMerge w:val="continue"/>
                  <w:noWrap w:val="0"/>
                  <w:vAlign w:val="center"/>
                </w:tcPr>
                <w:p w14:paraId="38866878">
                  <w:pPr>
                    <w:widowControl/>
                    <w:spacing w:line="240" w:lineRule="auto"/>
                    <w:jc w:val="left"/>
                    <w:rPr>
                      <w:rFonts w:hint="eastAsia" w:asciiTheme="minorEastAsia" w:hAnsiTheme="minorEastAsia" w:eastAsiaTheme="minorEastAsia" w:cstheme="minorEastAsia"/>
                      <w:color w:val="auto"/>
                      <w:sz w:val="20"/>
                      <w:szCs w:val="20"/>
                      <w:highlight w:val="none"/>
                    </w:rPr>
                  </w:pPr>
                </w:p>
              </w:tc>
              <w:tc>
                <w:tcPr>
                  <w:tcW w:w="2691" w:type="pct"/>
                  <w:noWrap w:val="0"/>
                  <w:vAlign w:val="center"/>
                </w:tcPr>
                <w:p w14:paraId="1D3A2703">
                  <w:pPr>
                    <w:pStyle w:val="9"/>
                    <w:adjustRightInd w:val="0"/>
                    <w:spacing w:line="240" w:lineRule="auto"/>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2、办公设施少配置的</w:t>
                  </w:r>
                </w:p>
              </w:tc>
              <w:tc>
                <w:tcPr>
                  <w:tcW w:w="1026" w:type="pct"/>
                  <w:vMerge w:val="restart"/>
                  <w:noWrap w:val="0"/>
                  <w:vAlign w:val="center"/>
                </w:tcPr>
                <w:p w14:paraId="2D4789E9">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按少配置物品市场价的3倍扣款</w:t>
                  </w:r>
                </w:p>
              </w:tc>
              <w:tc>
                <w:tcPr>
                  <w:tcW w:w="745" w:type="pct"/>
                  <w:noWrap w:val="0"/>
                  <w:vAlign w:val="center"/>
                </w:tcPr>
                <w:p w14:paraId="4495F93F">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p>
              </w:tc>
            </w:tr>
            <w:tr w14:paraId="05038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6" w:type="pct"/>
                  <w:vMerge w:val="continue"/>
                  <w:noWrap w:val="0"/>
                  <w:vAlign w:val="center"/>
                </w:tcPr>
                <w:p w14:paraId="63BC90DA">
                  <w:pPr>
                    <w:widowControl/>
                    <w:spacing w:line="240" w:lineRule="auto"/>
                    <w:jc w:val="left"/>
                    <w:rPr>
                      <w:rFonts w:hint="eastAsia" w:asciiTheme="minorEastAsia" w:hAnsiTheme="minorEastAsia" w:eastAsiaTheme="minorEastAsia" w:cstheme="minorEastAsia"/>
                      <w:color w:val="auto"/>
                      <w:sz w:val="20"/>
                      <w:szCs w:val="20"/>
                      <w:highlight w:val="none"/>
                    </w:rPr>
                  </w:pPr>
                </w:p>
              </w:tc>
              <w:tc>
                <w:tcPr>
                  <w:tcW w:w="2691" w:type="pct"/>
                  <w:noWrap w:val="0"/>
                  <w:vAlign w:val="center"/>
                </w:tcPr>
                <w:p w14:paraId="73CDF082">
                  <w:pPr>
                    <w:pStyle w:val="9"/>
                    <w:adjustRightInd w:val="0"/>
                    <w:spacing w:line="240" w:lineRule="auto"/>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3、办公装备、工具少配置的</w:t>
                  </w:r>
                </w:p>
              </w:tc>
              <w:tc>
                <w:tcPr>
                  <w:tcW w:w="1026" w:type="pct"/>
                  <w:vMerge w:val="continue"/>
                  <w:noWrap w:val="0"/>
                  <w:vAlign w:val="center"/>
                </w:tcPr>
                <w:p w14:paraId="124C52B0">
                  <w:pPr>
                    <w:widowControl/>
                    <w:spacing w:line="240" w:lineRule="auto"/>
                    <w:jc w:val="left"/>
                    <w:rPr>
                      <w:rFonts w:hint="eastAsia" w:asciiTheme="minorEastAsia" w:hAnsiTheme="minorEastAsia" w:eastAsiaTheme="minorEastAsia" w:cstheme="minorEastAsia"/>
                      <w:color w:val="auto"/>
                      <w:sz w:val="20"/>
                      <w:szCs w:val="20"/>
                      <w:highlight w:val="none"/>
                    </w:rPr>
                  </w:pPr>
                </w:p>
              </w:tc>
              <w:tc>
                <w:tcPr>
                  <w:tcW w:w="745" w:type="pct"/>
                  <w:noWrap w:val="0"/>
                  <w:vAlign w:val="center"/>
                </w:tcPr>
                <w:p w14:paraId="67F57674">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p>
              </w:tc>
            </w:tr>
            <w:tr w14:paraId="608A6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6" w:type="pct"/>
                  <w:vMerge w:val="continue"/>
                  <w:noWrap w:val="0"/>
                  <w:vAlign w:val="center"/>
                </w:tcPr>
                <w:p w14:paraId="7A954D6F">
                  <w:pPr>
                    <w:widowControl/>
                    <w:spacing w:line="240" w:lineRule="auto"/>
                    <w:jc w:val="left"/>
                    <w:rPr>
                      <w:rFonts w:hint="eastAsia" w:asciiTheme="minorEastAsia" w:hAnsiTheme="minorEastAsia" w:eastAsiaTheme="minorEastAsia" w:cstheme="minorEastAsia"/>
                      <w:color w:val="auto"/>
                      <w:sz w:val="20"/>
                      <w:szCs w:val="20"/>
                      <w:highlight w:val="none"/>
                    </w:rPr>
                  </w:pPr>
                </w:p>
              </w:tc>
              <w:tc>
                <w:tcPr>
                  <w:tcW w:w="2691" w:type="pct"/>
                  <w:noWrap w:val="0"/>
                  <w:vAlign w:val="center"/>
                </w:tcPr>
                <w:p w14:paraId="1FAB2E03">
                  <w:pPr>
                    <w:pStyle w:val="9"/>
                    <w:adjustRightInd w:val="0"/>
                    <w:spacing w:line="240" w:lineRule="auto"/>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4、超过总人数5%的人员素质不符合要求，且未在3天之内整改完毕的，对超出人数或未按期整改人数</w:t>
                  </w:r>
                </w:p>
              </w:tc>
              <w:tc>
                <w:tcPr>
                  <w:tcW w:w="1026" w:type="pct"/>
                  <w:noWrap w:val="0"/>
                  <w:vAlign w:val="center"/>
                </w:tcPr>
                <w:p w14:paraId="5EFFDF1E">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500元/人</w:t>
                  </w:r>
                </w:p>
              </w:tc>
              <w:tc>
                <w:tcPr>
                  <w:tcW w:w="745" w:type="pct"/>
                  <w:noWrap w:val="0"/>
                  <w:vAlign w:val="center"/>
                </w:tcPr>
                <w:p w14:paraId="12B48794">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p>
              </w:tc>
            </w:tr>
            <w:tr w14:paraId="54A79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 w:hRule="atLeast"/>
                <w:jc w:val="center"/>
              </w:trPr>
              <w:tc>
                <w:tcPr>
                  <w:tcW w:w="536" w:type="pct"/>
                  <w:vMerge w:val="continue"/>
                  <w:noWrap w:val="0"/>
                  <w:vAlign w:val="center"/>
                </w:tcPr>
                <w:p w14:paraId="1B867DCA">
                  <w:pPr>
                    <w:widowControl/>
                    <w:spacing w:line="240" w:lineRule="auto"/>
                    <w:jc w:val="left"/>
                    <w:rPr>
                      <w:rFonts w:hint="eastAsia" w:asciiTheme="minorEastAsia" w:hAnsiTheme="minorEastAsia" w:eastAsiaTheme="minorEastAsia" w:cstheme="minorEastAsia"/>
                      <w:color w:val="auto"/>
                      <w:sz w:val="20"/>
                      <w:szCs w:val="20"/>
                      <w:highlight w:val="none"/>
                    </w:rPr>
                  </w:pPr>
                </w:p>
              </w:tc>
              <w:tc>
                <w:tcPr>
                  <w:tcW w:w="2691" w:type="pct"/>
                  <w:noWrap w:val="0"/>
                  <w:vAlign w:val="center"/>
                </w:tcPr>
                <w:p w14:paraId="7FC356B9">
                  <w:pPr>
                    <w:pStyle w:val="9"/>
                    <w:adjustRightInd w:val="0"/>
                    <w:spacing w:line="240" w:lineRule="auto"/>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5、劳动时间安排不符合要求的</w:t>
                  </w:r>
                </w:p>
              </w:tc>
              <w:tc>
                <w:tcPr>
                  <w:tcW w:w="1026" w:type="pct"/>
                  <w:noWrap w:val="0"/>
                  <w:vAlign w:val="center"/>
                </w:tcPr>
                <w:p w14:paraId="3E1C388E">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500元/人</w:t>
                  </w:r>
                </w:p>
              </w:tc>
              <w:tc>
                <w:tcPr>
                  <w:tcW w:w="745" w:type="pct"/>
                  <w:noWrap w:val="0"/>
                  <w:vAlign w:val="center"/>
                </w:tcPr>
                <w:p w14:paraId="6BE245B9">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p>
              </w:tc>
            </w:tr>
            <w:tr w14:paraId="72AAD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536" w:type="pct"/>
                  <w:vMerge w:val="continue"/>
                  <w:noWrap w:val="0"/>
                  <w:vAlign w:val="center"/>
                </w:tcPr>
                <w:p w14:paraId="16AE5D58">
                  <w:pPr>
                    <w:widowControl/>
                    <w:spacing w:line="240" w:lineRule="auto"/>
                    <w:jc w:val="left"/>
                    <w:rPr>
                      <w:rFonts w:hint="eastAsia" w:asciiTheme="minorEastAsia" w:hAnsiTheme="minorEastAsia" w:eastAsiaTheme="minorEastAsia" w:cstheme="minorEastAsia"/>
                      <w:color w:val="auto"/>
                      <w:sz w:val="20"/>
                      <w:szCs w:val="20"/>
                      <w:highlight w:val="none"/>
                    </w:rPr>
                  </w:pPr>
                </w:p>
              </w:tc>
              <w:tc>
                <w:tcPr>
                  <w:tcW w:w="2691" w:type="pct"/>
                  <w:noWrap w:val="0"/>
                  <w:vAlign w:val="center"/>
                </w:tcPr>
                <w:p w14:paraId="665974A9">
                  <w:pPr>
                    <w:pStyle w:val="9"/>
                    <w:adjustRightInd w:val="0"/>
                    <w:spacing w:line="240" w:lineRule="auto"/>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lang w:val="en-US" w:eastAsia="zh-CN"/>
                    </w:rPr>
                    <w:t>6</w:t>
                  </w:r>
                  <w:r>
                    <w:rPr>
                      <w:rFonts w:hint="eastAsia" w:asciiTheme="minorEastAsia" w:hAnsiTheme="minorEastAsia" w:eastAsiaTheme="minorEastAsia" w:cstheme="minorEastAsia"/>
                      <w:color w:val="auto"/>
                      <w:sz w:val="20"/>
                      <w:szCs w:val="20"/>
                      <w:highlight w:val="none"/>
                    </w:rPr>
                    <w:t>、未按时签订劳动合同或发放工资、补助、购买社保的</w:t>
                  </w:r>
                </w:p>
              </w:tc>
              <w:tc>
                <w:tcPr>
                  <w:tcW w:w="1026" w:type="pct"/>
                  <w:noWrap w:val="0"/>
                  <w:vAlign w:val="center"/>
                </w:tcPr>
                <w:p w14:paraId="1D69D5E3">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500元/人</w:t>
                  </w:r>
                </w:p>
                <w:p w14:paraId="7D77D5D7">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（任一项）</w:t>
                  </w:r>
                </w:p>
              </w:tc>
              <w:tc>
                <w:tcPr>
                  <w:tcW w:w="745" w:type="pct"/>
                  <w:noWrap w:val="0"/>
                  <w:vAlign w:val="center"/>
                </w:tcPr>
                <w:p w14:paraId="7AFEDE53">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p>
              </w:tc>
            </w:tr>
            <w:tr w14:paraId="6FDDB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6" w:type="pct"/>
                  <w:vMerge w:val="continue"/>
                  <w:noWrap w:val="0"/>
                  <w:vAlign w:val="center"/>
                </w:tcPr>
                <w:p w14:paraId="42A737C1">
                  <w:pPr>
                    <w:widowControl/>
                    <w:spacing w:line="240" w:lineRule="auto"/>
                    <w:jc w:val="left"/>
                    <w:rPr>
                      <w:rFonts w:hint="eastAsia" w:asciiTheme="minorEastAsia" w:hAnsiTheme="minorEastAsia" w:eastAsiaTheme="minorEastAsia" w:cstheme="minorEastAsia"/>
                      <w:color w:val="auto"/>
                      <w:sz w:val="20"/>
                      <w:szCs w:val="20"/>
                      <w:highlight w:val="none"/>
                    </w:rPr>
                  </w:pPr>
                </w:p>
              </w:tc>
              <w:tc>
                <w:tcPr>
                  <w:tcW w:w="2691" w:type="pct"/>
                  <w:noWrap w:val="0"/>
                  <w:vAlign w:val="center"/>
                </w:tcPr>
                <w:p w14:paraId="18BEF213">
                  <w:pPr>
                    <w:pStyle w:val="9"/>
                    <w:adjustRightInd w:val="0"/>
                    <w:spacing w:line="240" w:lineRule="auto"/>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lang w:val="en-US" w:eastAsia="zh-CN"/>
                    </w:rPr>
                    <w:t>7</w:t>
                  </w:r>
                  <w:r>
                    <w:rPr>
                      <w:rFonts w:hint="eastAsia" w:asciiTheme="minorEastAsia" w:hAnsiTheme="minorEastAsia" w:eastAsiaTheme="minorEastAsia" w:cstheme="minorEastAsia"/>
                      <w:color w:val="auto"/>
                      <w:sz w:val="20"/>
                      <w:szCs w:val="20"/>
                      <w:highlight w:val="none"/>
                    </w:rPr>
                    <w:t>、少配置人员的(检查时集合点名一小时内未到的按少配置人员论处)</w:t>
                  </w:r>
                </w:p>
              </w:tc>
              <w:tc>
                <w:tcPr>
                  <w:tcW w:w="1026" w:type="pct"/>
                  <w:noWrap w:val="0"/>
                  <w:vAlign w:val="center"/>
                </w:tcPr>
                <w:p w14:paraId="0E51454D">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3000元/人</w:t>
                  </w:r>
                </w:p>
              </w:tc>
              <w:tc>
                <w:tcPr>
                  <w:tcW w:w="745" w:type="pct"/>
                  <w:noWrap w:val="0"/>
                  <w:vAlign w:val="center"/>
                </w:tcPr>
                <w:p w14:paraId="6D6DCA35">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p>
              </w:tc>
            </w:tr>
            <w:tr w14:paraId="3A205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6" w:type="pct"/>
                  <w:vMerge w:val="continue"/>
                  <w:noWrap w:val="0"/>
                  <w:vAlign w:val="center"/>
                </w:tcPr>
                <w:p w14:paraId="3A2C7BC0">
                  <w:pPr>
                    <w:widowControl/>
                    <w:spacing w:line="240" w:lineRule="auto"/>
                    <w:jc w:val="left"/>
                    <w:rPr>
                      <w:rFonts w:hint="eastAsia" w:asciiTheme="minorEastAsia" w:hAnsiTheme="minorEastAsia" w:eastAsiaTheme="minorEastAsia" w:cstheme="minorEastAsia"/>
                      <w:color w:val="auto"/>
                      <w:sz w:val="20"/>
                      <w:szCs w:val="20"/>
                      <w:highlight w:val="none"/>
                    </w:rPr>
                  </w:pPr>
                </w:p>
              </w:tc>
              <w:tc>
                <w:tcPr>
                  <w:tcW w:w="2691" w:type="pct"/>
                  <w:noWrap w:val="0"/>
                  <w:vAlign w:val="center"/>
                </w:tcPr>
                <w:p w14:paraId="06D1C365">
                  <w:pPr>
                    <w:pStyle w:val="9"/>
                    <w:adjustRightInd w:val="0"/>
                    <w:spacing w:line="240" w:lineRule="auto"/>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lang w:val="en-US" w:eastAsia="zh-CN"/>
                    </w:rPr>
                    <w:t>8</w:t>
                  </w:r>
                  <w:r>
                    <w:rPr>
                      <w:rFonts w:hint="eastAsia" w:asciiTheme="minorEastAsia" w:hAnsiTheme="minorEastAsia" w:eastAsiaTheme="minorEastAsia" w:cstheme="minorEastAsia"/>
                      <w:color w:val="auto"/>
                      <w:sz w:val="20"/>
                      <w:szCs w:val="20"/>
                      <w:highlight w:val="none"/>
                    </w:rPr>
                    <w:t>、值班人员无故脱岗的</w:t>
                  </w:r>
                </w:p>
              </w:tc>
              <w:tc>
                <w:tcPr>
                  <w:tcW w:w="1026" w:type="pct"/>
                  <w:noWrap w:val="0"/>
                  <w:vAlign w:val="center"/>
                </w:tcPr>
                <w:p w14:paraId="250341F3">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500元/人</w:t>
                  </w:r>
                </w:p>
              </w:tc>
              <w:tc>
                <w:tcPr>
                  <w:tcW w:w="745" w:type="pct"/>
                  <w:noWrap w:val="0"/>
                  <w:vAlign w:val="center"/>
                </w:tcPr>
                <w:p w14:paraId="5D94933F">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p>
              </w:tc>
            </w:tr>
            <w:tr w14:paraId="27A93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6" w:type="pct"/>
                  <w:vMerge w:val="continue"/>
                  <w:noWrap w:val="0"/>
                  <w:vAlign w:val="center"/>
                </w:tcPr>
                <w:p w14:paraId="6B017A2B">
                  <w:pPr>
                    <w:widowControl/>
                    <w:spacing w:line="240" w:lineRule="auto"/>
                    <w:jc w:val="left"/>
                    <w:rPr>
                      <w:rFonts w:hint="eastAsia" w:asciiTheme="minorEastAsia" w:hAnsiTheme="minorEastAsia" w:eastAsiaTheme="minorEastAsia" w:cstheme="minorEastAsia"/>
                      <w:color w:val="auto"/>
                      <w:sz w:val="20"/>
                      <w:szCs w:val="20"/>
                      <w:highlight w:val="none"/>
                    </w:rPr>
                  </w:pPr>
                </w:p>
              </w:tc>
              <w:tc>
                <w:tcPr>
                  <w:tcW w:w="2691" w:type="pct"/>
                  <w:noWrap w:val="0"/>
                  <w:vAlign w:val="center"/>
                </w:tcPr>
                <w:p w14:paraId="18C3C8A1">
                  <w:pPr>
                    <w:pStyle w:val="9"/>
                    <w:adjustRightInd w:val="0"/>
                    <w:spacing w:line="240" w:lineRule="auto"/>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lang w:val="en-US" w:eastAsia="zh-CN"/>
                    </w:rPr>
                    <w:t>9</w:t>
                  </w:r>
                  <w:r>
                    <w:rPr>
                      <w:rFonts w:hint="eastAsia" w:asciiTheme="minorEastAsia" w:hAnsiTheme="minorEastAsia" w:eastAsiaTheme="minorEastAsia" w:cstheme="minorEastAsia"/>
                      <w:color w:val="auto"/>
                      <w:sz w:val="20"/>
                      <w:szCs w:val="20"/>
                      <w:highlight w:val="none"/>
                    </w:rPr>
                    <w:t>、员工擅自离职的，自员工离职之日到新员工到位之日（每月2人之内的不扣款）</w:t>
                  </w:r>
                </w:p>
              </w:tc>
              <w:tc>
                <w:tcPr>
                  <w:tcW w:w="1026" w:type="pct"/>
                  <w:noWrap w:val="0"/>
                  <w:vAlign w:val="center"/>
                </w:tcPr>
                <w:p w14:paraId="24B79078">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600元/天/人</w:t>
                  </w:r>
                </w:p>
              </w:tc>
              <w:tc>
                <w:tcPr>
                  <w:tcW w:w="745" w:type="pct"/>
                  <w:noWrap w:val="0"/>
                  <w:vAlign w:val="center"/>
                </w:tcPr>
                <w:p w14:paraId="0236FF7C">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p>
              </w:tc>
            </w:tr>
            <w:tr w14:paraId="587B1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6" w:type="pct"/>
                  <w:vMerge w:val="continue"/>
                  <w:noWrap w:val="0"/>
                  <w:vAlign w:val="center"/>
                </w:tcPr>
                <w:p w14:paraId="76EF4568">
                  <w:pPr>
                    <w:widowControl/>
                    <w:spacing w:line="240" w:lineRule="auto"/>
                    <w:jc w:val="left"/>
                    <w:rPr>
                      <w:rFonts w:hint="eastAsia" w:asciiTheme="minorEastAsia" w:hAnsiTheme="minorEastAsia" w:eastAsiaTheme="minorEastAsia" w:cstheme="minorEastAsia"/>
                      <w:color w:val="auto"/>
                      <w:sz w:val="20"/>
                      <w:szCs w:val="20"/>
                      <w:highlight w:val="none"/>
                    </w:rPr>
                  </w:pPr>
                </w:p>
              </w:tc>
              <w:tc>
                <w:tcPr>
                  <w:tcW w:w="2691" w:type="pct"/>
                  <w:noWrap w:val="0"/>
                  <w:vAlign w:val="center"/>
                </w:tcPr>
                <w:p w14:paraId="2F7CC489">
                  <w:pPr>
                    <w:pStyle w:val="9"/>
                    <w:adjustRightInd w:val="0"/>
                    <w:spacing w:line="240" w:lineRule="auto"/>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lang w:val="en-US" w:eastAsia="zh-CN"/>
                    </w:rPr>
                    <w:t>10</w:t>
                  </w:r>
                  <w:r>
                    <w:rPr>
                      <w:rFonts w:hint="eastAsia" w:asciiTheme="minorEastAsia" w:hAnsiTheme="minorEastAsia" w:eastAsiaTheme="minorEastAsia" w:cstheme="minorEastAsia"/>
                      <w:color w:val="auto"/>
                      <w:sz w:val="20"/>
                      <w:szCs w:val="20"/>
                      <w:highlight w:val="none"/>
                    </w:rPr>
                    <w:t>、发生于工作相关的“吃、拿、卡、要”或收取保护费等问题，有证据证明的</w:t>
                  </w:r>
                </w:p>
              </w:tc>
              <w:tc>
                <w:tcPr>
                  <w:tcW w:w="1026" w:type="pct"/>
                  <w:noWrap w:val="0"/>
                  <w:vAlign w:val="center"/>
                </w:tcPr>
                <w:p w14:paraId="218E5222">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10000元/次</w:t>
                  </w:r>
                </w:p>
              </w:tc>
              <w:tc>
                <w:tcPr>
                  <w:tcW w:w="745" w:type="pct"/>
                  <w:vMerge w:val="restart"/>
                  <w:noWrap w:val="0"/>
                  <w:vAlign w:val="center"/>
                </w:tcPr>
                <w:p w14:paraId="79D6B321">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累计出现三次，考核单位有权立即终止合同</w:t>
                  </w:r>
                </w:p>
              </w:tc>
            </w:tr>
            <w:tr w14:paraId="6B360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36" w:type="pct"/>
                  <w:vMerge w:val="continue"/>
                  <w:noWrap w:val="0"/>
                  <w:vAlign w:val="center"/>
                </w:tcPr>
                <w:p w14:paraId="387B885B">
                  <w:pPr>
                    <w:widowControl/>
                    <w:spacing w:line="240" w:lineRule="auto"/>
                    <w:jc w:val="left"/>
                    <w:rPr>
                      <w:rFonts w:hint="eastAsia" w:asciiTheme="minorEastAsia" w:hAnsiTheme="minorEastAsia" w:eastAsiaTheme="minorEastAsia" w:cstheme="minorEastAsia"/>
                      <w:color w:val="auto"/>
                      <w:sz w:val="20"/>
                      <w:szCs w:val="20"/>
                      <w:highlight w:val="none"/>
                    </w:rPr>
                  </w:pPr>
                </w:p>
              </w:tc>
              <w:tc>
                <w:tcPr>
                  <w:tcW w:w="2691" w:type="pct"/>
                  <w:noWrap w:val="0"/>
                  <w:vAlign w:val="center"/>
                </w:tcPr>
                <w:p w14:paraId="62DAC058">
                  <w:pPr>
                    <w:pStyle w:val="9"/>
                    <w:adjustRightInd w:val="0"/>
                    <w:spacing w:line="240" w:lineRule="auto"/>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1</w:t>
                  </w:r>
                  <w:r>
                    <w:rPr>
                      <w:rFonts w:hint="eastAsia" w:asciiTheme="minorEastAsia" w:hAnsiTheme="minorEastAsia" w:eastAsiaTheme="minorEastAsia" w:cstheme="minorEastAsia"/>
                      <w:color w:val="auto"/>
                      <w:sz w:val="20"/>
                      <w:szCs w:val="20"/>
                      <w:highlight w:val="none"/>
                      <w:lang w:val="en-US" w:eastAsia="zh-CN"/>
                    </w:rPr>
                    <w:t>1</w:t>
                  </w:r>
                  <w:r>
                    <w:rPr>
                      <w:rFonts w:hint="eastAsia" w:asciiTheme="minorEastAsia" w:hAnsiTheme="minorEastAsia" w:eastAsiaTheme="minorEastAsia" w:cstheme="minorEastAsia"/>
                      <w:color w:val="auto"/>
                      <w:sz w:val="20"/>
                      <w:szCs w:val="20"/>
                      <w:highlight w:val="none"/>
                    </w:rPr>
                    <w:t>、出现员工到考核单位发生劳务纠纷的</w:t>
                  </w:r>
                </w:p>
              </w:tc>
              <w:tc>
                <w:tcPr>
                  <w:tcW w:w="1026" w:type="pct"/>
                  <w:noWrap w:val="0"/>
                  <w:vAlign w:val="center"/>
                </w:tcPr>
                <w:p w14:paraId="36D32DE0">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5000元/人</w:t>
                  </w:r>
                </w:p>
              </w:tc>
              <w:tc>
                <w:tcPr>
                  <w:tcW w:w="745" w:type="pct"/>
                  <w:vMerge w:val="continue"/>
                  <w:noWrap w:val="0"/>
                  <w:vAlign w:val="center"/>
                </w:tcPr>
                <w:p w14:paraId="101F115A">
                  <w:pPr>
                    <w:widowControl/>
                    <w:spacing w:line="240" w:lineRule="auto"/>
                    <w:jc w:val="left"/>
                    <w:rPr>
                      <w:rFonts w:hint="eastAsia" w:asciiTheme="minorEastAsia" w:hAnsiTheme="minorEastAsia" w:eastAsiaTheme="minorEastAsia" w:cstheme="minorEastAsia"/>
                      <w:color w:val="auto"/>
                      <w:sz w:val="20"/>
                      <w:szCs w:val="20"/>
                      <w:highlight w:val="none"/>
                    </w:rPr>
                  </w:pPr>
                </w:p>
              </w:tc>
            </w:tr>
            <w:tr w14:paraId="76BA9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6" w:type="pct"/>
                  <w:vMerge w:val="continue"/>
                  <w:noWrap w:val="0"/>
                  <w:vAlign w:val="center"/>
                </w:tcPr>
                <w:p w14:paraId="56D2A3FD">
                  <w:pPr>
                    <w:widowControl/>
                    <w:spacing w:line="240" w:lineRule="auto"/>
                    <w:jc w:val="left"/>
                    <w:rPr>
                      <w:rFonts w:hint="eastAsia" w:asciiTheme="minorEastAsia" w:hAnsiTheme="minorEastAsia" w:eastAsiaTheme="minorEastAsia" w:cstheme="minorEastAsia"/>
                      <w:color w:val="auto"/>
                      <w:sz w:val="20"/>
                      <w:szCs w:val="20"/>
                      <w:highlight w:val="none"/>
                    </w:rPr>
                  </w:pPr>
                </w:p>
              </w:tc>
              <w:tc>
                <w:tcPr>
                  <w:tcW w:w="2691" w:type="pct"/>
                  <w:noWrap w:val="0"/>
                  <w:vAlign w:val="center"/>
                </w:tcPr>
                <w:p w14:paraId="6FE3CC4E">
                  <w:pPr>
                    <w:pStyle w:val="9"/>
                    <w:adjustRightInd w:val="0"/>
                    <w:spacing w:line="240" w:lineRule="auto"/>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1</w:t>
                  </w:r>
                  <w:r>
                    <w:rPr>
                      <w:rFonts w:hint="eastAsia" w:asciiTheme="minorEastAsia" w:hAnsiTheme="minorEastAsia" w:eastAsiaTheme="minorEastAsia" w:cstheme="minorEastAsia"/>
                      <w:color w:val="auto"/>
                      <w:sz w:val="20"/>
                      <w:szCs w:val="20"/>
                      <w:highlight w:val="none"/>
                      <w:lang w:val="en-US" w:eastAsia="zh-CN"/>
                    </w:rPr>
                    <w:t>2</w:t>
                  </w:r>
                  <w:r>
                    <w:rPr>
                      <w:rFonts w:hint="eastAsia" w:asciiTheme="minorEastAsia" w:hAnsiTheme="minorEastAsia" w:eastAsiaTheme="minorEastAsia" w:cstheme="minorEastAsia"/>
                      <w:color w:val="auto"/>
                      <w:sz w:val="20"/>
                      <w:szCs w:val="20"/>
                      <w:highlight w:val="none"/>
                    </w:rPr>
                    <w:t>、出现仪容不整、着装不整、证件、执勤标志佩戴不齐的</w:t>
                  </w:r>
                </w:p>
              </w:tc>
              <w:tc>
                <w:tcPr>
                  <w:tcW w:w="1026" w:type="pct"/>
                  <w:noWrap w:val="0"/>
                  <w:vAlign w:val="center"/>
                </w:tcPr>
                <w:p w14:paraId="2D7FD670">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200元/人</w:t>
                  </w:r>
                </w:p>
              </w:tc>
              <w:tc>
                <w:tcPr>
                  <w:tcW w:w="745" w:type="pct"/>
                  <w:noWrap w:val="0"/>
                  <w:vAlign w:val="center"/>
                </w:tcPr>
                <w:p w14:paraId="77DA1185">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p>
              </w:tc>
            </w:tr>
            <w:tr w14:paraId="03A17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6" w:type="pct"/>
                  <w:vMerge w:val="continue"/>
                  <w:noWrap w:val="0"/>
                  <w:vAlign w:val="center"/>
                </w:tcPr>
                <w:p w14:paraId="602F85FE">
                  <w:pPr>
                    <w:widowControl/>
                    <w:spacing w:line="240" w:lineRule="auto"/>
                    <w:jc w:val="left"/>
                    <w:rPr>
                      <w:rFonts w:hint="eastAsia" w:asciiTheme="minorEastAsia" w:hAnsiTheme="minorEastAsia" w:eastAsiaTheme="minorEastAsia" w:cstheme="minorEastAsia"/>
                      <w:color w:val="auto"/>
                      <w:sz w:val="20"/>
                      <w:szCs w:val="20"/>
                      <w:highlight w:val="none"/>
                    </w:rPr>
                  </w:pPr>
                </w:p>
              </w:tc>
              <w:tc>
                <w:tcPr>
                  <w:tcW w:w="2691" w:type="pct"/>
                  <w:noWrap w:val="0"/>
                  <w:vAlign w:val="center"/>
                </w:tcPr>
                <w:p w14:paraId="1D24906C">
                  <w:pPr>
                    <w:pStyle w:val="9"/>
                    <w:adjustRightInd w:val="0"/>
                    <w:spacing w:line="240" w:lineRule="auto"/>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1</w:t>
                  </w:r>
                  <w:r>
                    <w:rPr>
                      <w:rFonts w:hint="eastAsia" w:asciiTheme="minorEastAsia" w:hAnsiTheme="minorEastAsia" w:eastAsiaTheme="minorEastAsia" w:cstheme="minorEastAsia"/>
                      <w:color w:val="auto"/>
                      <w:sz w:val="20"/>
                      <w:szCs w:val="20"/>
                      <w:highlight w:val="none"/>
                      <w:lang w:val="en-US" w:eastAsia="zh-CN"/>
                    </w:rPr>
                    <w:t>3</w:t>
                  </w:r>
                  <w:r>
                    <w:rPr>
                      <w:rFonts w:hint="eastAsia" w:asciiTheme="minorEastAsia" w:hAnsiTheme="minorEastAsia" w:eastAsiaTheme="minorEastAsia" w:cstheme="minorEastAsia"/>
                      <w:color w:val="auto"/>
                      <w:sz w:val="20"/>
                      <w:szCs w:val="20"/>
                      <w:highlight w:val="none"/>
                    </w:rPr>
                    <w:t>、出现工作态度粗暴、野蛮、语言不文明的，造成不良影响的</w:t>
                  </w:r>
                </w:p>
              </w:tc>
              <w:tc>
                <w:tcPr>
                  <w:tcW w:w="1026" w:type="pct"/>
                  <w:noWrap w:val="0"/>
                  <w:vAlign w:val="center"/>
                </w:tcPr>
                <w:p w14:paraId="50401B9B">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1000元/人</w:t>
                  </w:r>
                </w:p>
              </w:tc>
              <w:tc>
                <w:tcPr>
                  <w:tcW w:w="745" w:type="pct"/>
                  <w:noWrap w:val="0"/>
                  <w:vAlign w:val="center"/>
                </w:tcPr>
                <w:p w14:paraId="685E0150">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p>
              </w:tc>
            </w:tr>
            <w:tr w14:paraId="3D90D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6" w:type="pct"/>
                  <w:vMerge w:val="continue"/>
                  <w:noWrap w:val="0"/>
                  <w:vAlign w:val="center"/>
                </w:tcPr>
                <w:p w14:paraId="2BFE0233">
                  <w:pPr>
                    <w:widowControl/>
                    <w:spacing w:line="240" w:lineRule="auto"/>
                    <w:jc w:val="left"/>
                    <w:rPr>
                      <w:rFonts w:hint="eastAsia" w:asciiTheme="minorEastAsia" w:hAnsiTheme="minorEastAsia" w:eastAsiaTheme="minorEastAsia" w:cstheme="minorEastAsia"/>
                      <w:color w:val="auto"/>
                      <w:sz w:val="20"/>
                      <w:szCs w:val="20"/>
                      <w:highlight w:val="none"/>
                    </w:rPr>
                  </w:pPr>
                </w:p>
              </w:tc>
              <w:tc>
                <w:tcPr>
                  <w:tcW w:w="2691" w:type="pct"/>
                  <w:noWrap w:val="0"/>
                  <w:vAlign w:val="center"/>
                </w:tcPr>
                <w:p w14:paraId="5F759A20">
                  <w:pPr>
                    <w:pStyle w:val="9"/>
                    <w:adjustRightInd w:val="0"/>
                    <w:spacing w:line="240" w:lineRule="auto"/>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1</w:t>
                  </w:r>
                  <w:r>
                    <w:rPr>
                      <w:rFonts w:hint="eastAsia" w:asciiTheme="minorEastAsia" w:hAnsiTheme="minorEastAsia" w:eastAsiaTheme="minorEastAsia" w:cstheme="minorEastAsia"/>
                      <w:color w:val="auto"/>
                      <w:sz w:val="20"/>
                      <w:szCs w:val="20"/>
                      <w:highlight w:val="none"/>
                      <w:lang w:val="en-US" w:eastAsia="zh-CN"/>
                    </w:rPr>
                    <w:t>4</w:t>
                  </w:r>
                  <w:r>
                    <w:rPr>
                      <w:rFonts w:hint="eastAsia" w:asciiTheme="minorEastAsia" w:hAnsiTheme="minorEastAsia" w:eastAsiaTheme="minorEastAsia" w:cstheme="minorEastAsia"/>
                      <w:color w:val="auto"/>
                      <w:sz w:val="20"/>
                      <w:szCs w:val="20"/>
                      <w:highlight w:val="none"/>
                    </w:rPr>
                    <w:t>、出现有证据证明的扣款事实，而乙方拒绝签字确认等不配合监督检查的</w:t>
                  </w:r>
                </w:p>
              </w:tc>
              <w:tc>
                <w:tcPr>
                  <w:tcW w:w="1026" w:type="pct"/>
                  <w:noWrap w:val="0"/>
                  <w:vAlign w:val="center"/>
                </w:tcPr>
                <w:p w14:paraId="75B9B2DB">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500元/次</w:t>
                  </w:r>
                </w:p>
              </w:tc>
              <w:tc>
                <w:tcPr>
                  <w:tcW w:w="745" w:type="pct"/>
                  <w:vMerge w:val="restart"/>
                  <w:noWrap w:val="0"/>
                  <w:vAlign w:val="center"/>
                </w:tcPr>
                <w:p w14:paraId="5E8D87CE">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累计出现五次，考核单位有权立即终止合同</w:t>
                  </w:r>
                </w:p>
              </w:tc>
            </w:tr>
            <w:tr w14:paraId="3687E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6" w:type="pct"/>
                  <w:vMerge w:val="continue"/>
                  <w:noWrap w:val="0"/>
                  <w:vAlign w:val="center"/>
                </w:tcPr>
                <w:p w14:paraId="696CA096">
                  <w:pPr>
                    <w:widowControl/>
                    <w:spacing w:line="240" w:lineRule="auto"/>
                    <w:jc w:val="left"/>
                    <w:rPr>
                      <w:rFonts w:hint="eastAsia" w:asciiTheme="minorEastAsia" w:hAnsiTheme="minorEastAsia" w:eastAsiaTheme="minorEastAsia" w:cstheme="minorEastAsia"/>
                      <w:color w:val="auto"/>
                      <w:sz w:val="20"/>
                      <w:szCs w:val="20"/>
                      <w:highlight w:val="none"/>
                    </w:rPr>
                  </w:pPr>
                </w:p>
              </w:tc>
              <w:tc>
                <w:tcPr>
                  <w:tcW w:w="2691" w:type="pct"/>
                  <w:noWrap w:val="0"/>
                  <w:vAlign w:val="center"/>
                </w:tcPr>
                <w:p w14:paraId="1F35537C">
                  <w:pPr>
                    <w:pStyle w:val="9"/>
                    <w:adjustRightInd w:val="0"/>
                    <w:spacing w:line="240" w:lineRule="auto"/>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lang w:val="en-US" w:eastAsia="zh-CN"/>
                    </w:rPr>
                    <w:t>15</w:t>
                  </w:r>
                  <w:r>
                    <w:rPr>
                      <w:rFonts w:hint="eastAsia" w:asciiTheme="minorEastAsia" w:hAnsiTheme="minorEastAsia" w:eastAsiaTheme="minorEastAsia" w:cstheme="minorEastAsia"/>
                      <w:color w:val="auto"/>
                      <w:sz w:val="20"/>
                      <w:szCs w:val="20"/>
                      <w:highlight w:val="none"/>
                    </w:rPr>
                    <w:t>、出现言行举止不当，</w:t>
                  </w:r>
                  <w:r>
                    <w:rPr>
                      <w:rFonts w:hint="eastAsia" w:asciiTheme="minorEastAsia" w:hAnsiTheme="minorEastAsia" w:eastAsiaTheme="minorEastAsia" w:cstheme="minorEastAsia"/>
                      <w:color w:val="auto"/>
                      <w:sz w:val="20"/>
                      <w:szCs w:val="20"/>
                      <w:highlight w:val="none"/>
                      <w:lang w:val="en-US" w:eastAsia="zh-CN"/>
                    </w:rPr>
                    <w:t>态度野蛮，</w:t>
                  </w:r>
                  <w:r>
                    <w:rPr>
                      <w:rFonts w:hint="eastAsia" w:asciiTheme="minorEastAsia" w:hAnsiTheme="minorEastAsia" w:eastAsiaTheme="minorEastAsia" w:cstheme="minorEastAsia"/>
                      <w:color w:val="auto"/>
                      <w:sz w:val="20"/>
                      <w:szCs w:val="20"/>
                      <w:highlight w:val="none"/>
                    </w:rPr>
                    <w:t>与</w:t>
                  </w:r>
                  <w:r>
                    <w:rPr>
                      <w:rFonts w:hint="eastAsia" w:asciiTheme="minorEastAsia" w:hAnsiTheme="minorEastAsia" w:eastAsiaTheme="minorEastAsia" w:cstheme="minorEastAsia"/>
                      <w:color w:val="auto"/>
                      <w:sz w:val="20"/>
                      <w:szCs w:val="20"/>
                      <w:highlight w:val="none"/>
                      <w:lang w:val="en-US" w:eastAsia="zh-CN"/>
                    </w:rPr>
                    <w:t>群众发生纠纷而引发</w:t>
                  </w:r>
                  <w:r>
                    <w:rPr>
                      <w:rFonts w:hint="eastAsia" w:asciiTheme="minorEastAsia" w:hAnsiTheme="minorEastAsia" w:eastAsiaTheme="minorEastAsia" w:cstheme="minorEastAsia"/>
                      <w:color w:val="auto"/>
                      <w:sz w:val="20"/>
                      <w:szCs w:val="20"/>
                      <w:highlight w:val="none"/>
                    </w:rPr>
                    <w:t>打架斗殴，给考核单位造成不良影响的</w:t>
                  </w:r>
                </w:p>
              </w:tc>
              <w:tc>
                <w:tcPr>
                  <w:tcW w:w="1026" w:type="pct"/>
                  <w:noWrap w:val="0"/>
                  <w:vAlign w:val="center"/>
                </w:tcPr>
                <w:p w14:paraId="73F617B9">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1000元/人次</w:t>
                  </w:r>
                </w:p>
              </w:tc>
              <w:tc>
                <w:tcPr>
                  <w:tcW w:w="745" w:type="pct"/>
                  <w:vMerge w:val="continue"/>
                  <w:noWrap w:val="0"/>
                  <w:vAlign w:val="center"/>
                </w:tcPr>
                <w:p w14:paraId="5F70634B">
                  <w:pPr>
                    <w:widowControl/>
                    <w:spacing w:line="240" w:lineRule="auto"/>
                    <w:jc w:val="left"/>
                    <w:rPr>
                      <w:rFonts w:hint="eastAsia" w:asciiTheme="minorEastAsia" w:hAnsiTheme="minorEastAsia" w:eastAsiaTheme="minorEastAsia" w:cstheme="minorEastAsia"/>
                      <w:color w:val="auto"/>
                      <w:sz w:val="20"/>
                      <w:szCs w:val="20"/>
                      <w:highlight w:val="none"/>
                    </w:rPr>
                  </w:pPr>
                </w:p>
              </w:tc>
            </w:tr>
            <w:tr w14:paraId="3AE89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6" w:type="pct"/>
                  <w:vMerge w:val="restart"/>
                  <w:noWrap w:val="0"/>
                  <w:vAlign w:val="center"/>
                </w:tcPr>
                <w:p w14:paraId="25AEF5CC">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二、市容综合巡查服务区域管理</w:t>
                  </w:r>
                </w:p>
              </w:tc>
              <w:tc>
                <w:tcPr>
                  <w:tcW w:w="2691" w:type="pct"/>
                  <w:noWrap w:val="0"/>
                  <w:vAlign w:val="center"/>
                </w:tcPr>
                <w:p w14:paraId="03E2E09B">
                  <w:pPr>
                    <w:pStyle w:val="9"/>
                    <w:adjustRightInd w:val="0"/>
                    <w:spacing w:line="240" w:lineRule="auto"/>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1、乱张挂、乱张贴以及派发经营性宣传品、小广告的</w:t>
                  </w:r>
                </w:p>
              </w:tc>
              <w:tc>
                <w:tcPr>
                  <w:tcW w:w="1026" w:type="pct"/>
                  <w:noWrap w:val="0"/>
                  <w:vAlign w:val="center"/>
                </w:tcPr>
                <w:p w14:paraId="6D94A5B3">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60元/</w:t>
                  </w:r>
                  <w:r>
                    <w:rPr>
                      <w:rFonts w:hint="eastAsia" w:asciiTheme="minorEastAsia" w:hAnsiTheme="minorEastAsia" w:eastAsiaTheme="minorEastAsia" w:cstheme="minorEastAsia"/>
                      <w:color w:val="auto"/>
                      <w:sz w:val="20"/>
                      <w:szCs w:val="20"/>
                      <w:highlight w:val="none"/>
                      <w:lang w:val="en-US" w:eastAsia="zh-CN"/>
                    </w:rPr>
                    <w:t>宗</w:t>
                  </w:r>
                </w:p>
              </w:tc>
              <w:tc>
                <w:tcPr>
                  <w:tcW w:w="745" w:type="pct"/>
                  <w:noWrap w:val="0"/>
                  <w:vAlign w:val="center"/>
                </w:tcPr>
                <w:p w14:paraId="39ACA36B">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p>
              </w:tc>
            </w:tr>
            <w:tr w14:paraId="32D15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6" w:type="pct"/>
                  <w:vMerge w:val="continue"/>
                  <w:noWrap w:val="0"/>
                  <w:vAlign w:val="center"/>
                </w:tcPr>
                <w:p w14:paraId="647408DE">
                  <w:pPr>
                    <w:widowControl/>
                    <w:spacing w:line="240" w:lineRule="auto"/>
                    <w:jc w:val="left"/>
                    <w:rPr>
                      <w:rFonts w:hint="eastAsia" w:asciiTheme="minorEastAsia" w:hAnsiTheme="minorEastAsia" w:eastAsiaTheme="minorEastAsia" w:cstheme="minorEastAsia"/>
                      <w:color w:val="auto"/>
                      <w:sz w:val="20"/>
                      <w:szCs w:val="20"/>
                      <w:highlight w:val="none"/>
                    </w:rPr>
                  </w:pPr>
                </w:p>
              </w:tc>
              <w:tc>
                <w:tcPr>
                  <w:tcW w:w="2691" w:type="pct"/>
                  <w:noWrap w:val="0"/>
                  <w:vAlign w:val="center"/>
                </w:tcPr>
                <w:p w14:paraId="2AC1043E">
                  <w:pPr>
                    <w:pStyle w:val="9"/>
                    <w:adjustRightInd w:val="0"/>
                    <w:spacing w:line="240" w:lineRule="auto"/>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2、乱刻画、乱涂写的</w:t>
                  </w:r>
                </w:p>
              </w:tc>
              <w:tc>
                <w:tcPr>
                  <w:tcW w:w="1026" w:type="pct"/>
                  <w:noWrap w:val="0"/>
                  <w:vAlign w:val="center"/>
                </w:tcPr>
                <w:p w14:paraId="3C756386">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60元/宗</w:t>
                  </w:r>
                </w:p>
              </w:tc>
              <w:tc>
                <w:tcPr>
                  <w:tcW w:w="745" w:type="pct"/>
                  <w:noWrap w:val="0"/>
                  <w:vAlign w:val="center"/>
                </w:tcPr>
                <w:p w14:paraId="7A29E087">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p>
              </w:tc>
            </w:tr>
            <w:tr w14:paraId="261FA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6" w:type="pct"/>
                  <w:vMerge w:val="continue"/>
                  <w:noWrap w:val="0"/>
                  <w:vAlign w:val="center"/>
                </w:tcPr>
                <w:p w14:paraId="53A5BFD7">
                  <w:pPr>
                    <w:widowControl/>
                    <w:spacing w:line="240" w:lineRule="auto"/>
                    <w:jc w:val="left"/>
                    <w:rPr>
                      <w:rFonts w:hint="eastAsia" w:asciiTheme="minorEastAsia" w:hAnsiTheme="minorEastAsia" w:eastAsiaTheme="minorEastAsia" w:cstheme="minorEastAsia"/>
                      <w:color w:val="auto"/>
                      <w:sz w:val="20"/>
                      <w:szCs w:val="20"/>
                      <w:highlight w:val="none"/>
                    </w:rPr>
                  </w:pPr>
                </w:p>
              </w:tc>
              <w:tc>
                <w:tcPr>
                  <w:tcW w:w="2691" w:type="pct"/>
                  <w:noWrap w:val="0"/>
                  <w:vAlign w:val="center"/>
                </w:tcPr>
                <w:p w14:paraId="20781C0F">
                  <w:pPr>
                    <w:pStyle w:val="9"/>
                    <w:adjustRightInd w:val="0"/>
                    <w:spacing w:line="240" w:lineRule="auto"/>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3、乱挂晒、乱悬挂的</w:t>
                  </w:r>
                </w:p>
              </w:tc>
              <w:tc>
                <w:tcPr>
                  <w:tcW w:w="1026" w:type="pct"/>
                  <w:noWrap w:val="0"/>
                  <w:vAlign w:val="center"/>
                </w:tcPr>
                <w:p w14:paraId="5C875CB6">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60元/宗</w:t>
                  </w:r>
                </w:p>
              </w:tc>
              <w:tc>
                <w:tcPr>
                  <w:tcW w:w="745" w:type="pct"/>
                  <w:noWrap w:val="0"/>
                  <w:vAlign w:val="center"/>
                </w:tcPr>
                <w:p w14:paraId="27028143">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p>
              </w:tc>
            </w:tr>
            <w:tr w14:paraId="6EAC8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6" w:type="pct"/>
                  <w:vMerge w:val="continue"/>
                  <w:noWrap w:val="0"/>
                  <w:vAlign w:val="center"/>
                </w:tcPr>
                <w:p w14:paraId="228FC7A7">
                  <w:pPr>
                    <w:widowControl/>
                    <w:spacing w:line="240" w:lineRule="auto"/>
                    <w:jc w:val="left"/>
                    <w:rPr>
                      <w:rFonts w:hint="eastAsia" w:asciiTheme="minorEastAsia" w:hAnsiTheme="minorEastAsia" w:eastAsiaTheme="minorEastAsia" w:cstheme="minorEastAsia"/>
                      <w:color w:val="auto"/>
                      <w:sz w:val="20"/>
                      <w:szCs w:val="20"/>
                      <w:highlight w:val="none"/>
                    </w:rPr>
                  </w:pPr>
                </w:p>
              </w:tc>
              <w:tc>
                <w:tcPr>
                  <w:tcW w:w="2691" w:type="pct"/>
                  <w:noWrap w:val="0"/>
                  <w:vAlign w:val="center"/>
                </w:tcPr>
                <w:p w14:paraId="7C2F864F">
                  <w:pPr>
                    <w:pStyle w:val="9"/>
                    <w:adjustRightInd w:val="0"/>
                    <w:spacing w:line="240" w:lineRule="auto"/>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4、违法设置横幅标语的</w:t>
                  </w:r>
                </w:p>
              </w:tc>
              <w:tc>
                <w:tcPr>
                  <w:tcW w:w="1026" w:type="pct"/>
                  <w:noWrap w:val="0"/>
                  <w:vAlign w:val="center"/>
                </w:tcPr>
                <w:p w14:paraId="4AE0CC91">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100元/宗</w:t>
                  </w:r>
                </w:p>
              </w:tc>
              <w:tc>
                <w:tcPr>
                  <w:tcW w:w="745" w:type="pct"/>
                  <w:noWrap w:val="0"/>
                  <w:vAlign w:val="center"/>
                </w:tcPr>
                <w:p w14:paraId="77099C6A">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p>
              </w:tc>
            </w:tr>
            <w:tr w14:paraId="31E76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6" w:type="pct"/>
                  <w:vMerge w:val="continue"/>
                  <w:noWrap w:val="0"/>
                  <w:vAlign w:val="center"/>
                </w:tcPr>
                <w:p w14:paraId="7527DE9E">
                  <w:pPr>
                    <w:widowControl/>
                    <w:spacing w:line="240" w:lineRule="auto"/>
                    <w:jc w:val="left"/>
                    <w:rPr>
                      <w:rFonts w:hint="eastAsia" w:asciiTheme="minorEastAsia" w:hAnsiTheme="minorEastAsia" w:eastAsiaTheme="minorEastAsia" w:cstheme="minorEastAsia"/>
                      <w:color w:val="auto"/>
                      <w:sz w:val="20"/>
                      <w:szCs w:val="20"/>
                      <w:highlight w:val="none"/>
                    </w:rPr>
                  </w:pPr>
                </w:p>
              </w:tc>
              <w:tc>
                <w:tcPr>
                  <w:tcW w:w="2691" w:type="pct"/>
                  <w:noWrap w:val="0"/>
                  <w:vAlign w:val="center"/>
                </w:tcPr>
                <w:p w14:paraId="08D14DC0">
                  <w:pPr>
                    <w:pStyle w:val="9"/>
                    <w:adjustRightInd w:val="0"/>
                    <w:spacing w:line="240" w:lineRule="auto"/>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5、违法设置彩旗、气球等宣传品的</w:t>
                  </w:r>
                </w:p>
              </w:tc>
              <w:tc>
                <w:tcPr>
                  <w:tcW w:w="1026" w:type="pct"/>
                  <w:noWrap w:val="0"/>
                  <w:vAlign w:val="center"/>
                </w:tcPr>
                <w:p w14:paraId="32C18EB4">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100元/宗</w:t>
                  </w:r>
                </w:p>
              </w:tc>
              <w:tc>
                <w:tcPr>
                  <w:tcW w:w="745" w:type="pct"/>
                  <w:noWrap w:val="0"/>
                  <w:vAlign w:val="center"/>
                </w:tcPr>
                <w:p w14:paraId="7B2C0075">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p>
              </w:tc>
            </w:tr>
            <w:tr w14:paraId="51A22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6" w:type="pct"/>
                  <w:vMerge w:val="continue"/>
                  <w:noWrap w:val="0"/>
                  <w:vAlign w:val="center"/>
                </w:tcPr>
                <w:p w14:paraId="2FE1C79A">
                  <w:pPr>
                    <w:widowControl/>
                    <w:spacing w:line="240" w:lineRule="auto"/>
                    <w:jc w:val="left"/>
                    <w:rPr>
                      <w:rFonts w:hint="eastAsia" w:asciiTheme="minorEastAsia" w:hAnsiTheme="minorEastAsia" w:eastAsiaTheme="minorEastAsia" w:cstheme="minorEastAsia"/>
                      <w:color w:val="auto"/>
                      <w:sz w:val="20"/>
                      <w:szCs w:val="20"/>
                      <w:highlight w:val="none"/>
                    </w:rPr>
                  </w:pPr>
                </w:p>
              </w:tc>
              <w:tc>
                <w:tcPr>
                  <w:tcW w:w="2691" w:type="pct"/>
                  <w:noWrap w:val="0"/>
                  <w:vAlign w:val="center"/>
                </w:tcPr>
                <w:p w14:paraId="060514D7">
                  <w:pPr>
                    <w:pStyle w:val="9"/>
                    <w:adjustRightInd w:val="0"/>
                    <w:spacing w:line="240" w:lineRule="auto"/>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6、违法设置招牌、阅报栏、霓虹灯、电子显示屏等设施的</w:t>
                  </w:r>
                </w:p>
              </w:tc>
              <w:tc>
                <w:tcPr>
                  <w:tcW w:w="1026" w:type="pct"/>
                  <w:noWrap w:val="0"/>
                  <w:vAlign w:val="center"/>
                </w:tcPr>
                <w:p w14:paraId="7F5F6CAA">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100元/宗</w:t>
                  </w:r>
                </w:p>
              </w:tc>
              <w:tc>
                <w:tcPr>
                  <w:tcW w:w="745" w:type="pct"/>
                  <w:noWrap w:val="0"/>
                  <w:vAlign w:val="center"/>
                </w:tcPr>
                <w:p w14:paraId="7E40D759">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p>
              </w:tc>
            </w:tr>
            <w:tr w14:paraId="2B4DF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6" w:type="pct"/>
                  <w:vMerge w:val="continue"/>
                  <w:noWrap w:val="0"/>
                  <w:vAlign w:val="center"/>
                </w:tcPr>
                <w:p w14:paraId="13C604D5">
                  <w:pPr>
                    <w:widowControl/>
                    <w:spacing w:line="240" w:lineRule="auto"/>
                    <w:jc w:val="left"/>
                    <w:rPr>
                      <w:rFonts w:hint="eastAsia" w:asciiTheme="minorEastAsia" w:hAnsiTheme="minorEastAsia" w:eastAsiaTheme="minorEastAsia" w:cstheme="minorEastAsia"/>
                      <w:color w:val="auto"/>
                      <w:sz w:val="20"/>
                      <w:szCs w:val="20"/>
                      <w:highlight w:val="none"/>
                    </w:rPr>
                  </w:pPr>
                </w:p>
              </w:tc>
              <w:tc>
                <w:tcPr>
                  <w:tcW w:w="2691" w:type="pct"/>
                  <w:noWrap w:val="0"/>
                  <w:vAlign w:val="center"/>
                </w:tcPr>
                <w:p w14:paraId="5B03B7DE">
                  <w:pPr>
                    <w:pStyle w:val="9"/>
                    <w:adjustRightInd w:val="0"/>
                    <w:spacing w:line="240" w:lineRule="auto"/>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7、违法设置大型广告牌的</w:t>
                  </w:r>
                </w:p>
              </w:tc>
              <w:tc>
                <w:tcPr>
                  <w:tcW w:w="1026" w:type="pct"/>
                  <w:noWrap w:val="0"/>
                  <w:vAlign w:val="center"/>
                </w:tcPr>
                <w:p w14:paraId="2FDD84B0">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lang w:val="en-US" w:eastAsia="zh-CN"/>
                    </w:rPr>
                    <w:t>2000</w:t>
                  </w:r>
                  <w:r>
                    <w:rPr>
                      <w:rFonts w:hint="eastAsia" w:asciiTheme="minorEastAsia" w:hAnsiTheme="minorEastAsia" w:eastAsiaTheme="minorEastAsia" w:cstheme="minorEastAsia"/>
                      <w:color w:val="auto"/>
                      <w:sz w:val="20"/>
                      <w:szCs w:val="20"/>
                      <w:highlight w:val="none"/>
                    </w:rPr>
                    <w:t>元/宗</w:t>
                  </w:r>
                </w:p>
              </w:tc>
              <w:tc>
                <w:tcPr>
                  <w:tcW w:w="745" w:type="pct"/>
                  <w:noWrap w:val="0"/>
                  <w:vAlign w:val="center"/>
                </w:tcPr>
                <w:p w14:paraId="69051FB5">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p>
              </w:tc>
            </w:tr>
            <w:tr w14:paraId="404BE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6" w:type="pct"/>
                  <w:vMerge w:val="continue"/>
                  <w:noWrap w:val="0"/>
                  <w:vAlign w:val="center"/>
                </w:tcPr>
                <w:p w14:paraId="02E0D3C7">
                  <w:pPr>
                    <w:widowControl/>
                    <w:spacing w:line="240" w:lineRule="auto"/>
                    <w:jc w:val="left"/>
                    <w:rPr>
                      <w:rFonts w:hint="eastAsia" w:asciiTheme="minorEastAsia" w:hAnsiTheme="minorEastAsia" w:eastAsiaTheme="minorEastAsia" w:cstheme="minorEastAsia"/>
                      <w:color w:val="auto"/>
                      <w:sz w:val="20"/>
                      <w:szCs w:val="20"/>
                      <w:highlight w:val="none"/>
                    </w:rPr>
                  </w:pPr>
                </w:p>
              </w:tc>
              <w:tc>
                <w:tcPr>
                  <w:tcW w:w="2691" w:type="pct"/>
                  <w:noWrap w:val="0"/>
                  <w:vAlign w:val="center"/>
                </w:tcPr>
                <w:p w14:paraId="643A55D3">
                  <w:pPr>
                    <w:pStyle w:val="9"/>
                    <w:adjustRightInd w:val="0"/>
                    <w:spacing w:line="240" w:lineRule="auto"/>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8、户外广告招牌（霓虹灯）残旧、破损、脱落的</w:t>
                  </w:r>
                </w:p>
              </w:tc>
              <w:tc>
                <w:tcPr>
                  <w:tcW w:w="1026" w:type="pct"/>
                  <w:noWrap w:val="0"/>
                  <w:vAlign w:val="center"/>
                </w:tcPr>
                <w:p w14:paraId="25D9F965">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50元/宗</w:t>
                  </w:r>
                </w:p>
              </w:tc>
              <w:tc>
                <w:tcPr>
                  <w:tcW w:w="745" w:type="pct"/>
                  <w:noWrap w:val="0"/>
                  <w:vAlign w:val="center"/>
                </w:tcPr>
                <w:p w14:paraId="52E41E60">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p>
              </w:tc>
            </w:tr>
            <w:tr w14:paraId="590A0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6" w:type="pct"/>
                  <w:vMerge w:val="continue"/>
                  <w:noWrap w:val="0"/>
                  <w:vAlign w:val="center"/>
                </w:tcPr>
                <w:p w14:paraId="7A3AABF0">
                  <w:pPr>
                    <w:widowControl/>
                    <w:spacing w:line="240" w:lineRule="auto"/>
                    <w:jc w:val="left"/>
                    <w:rPr>
                      <w:rFonts w:hint="eastAsia" w:asciiTheme="minorEastAsia" w:hAnsiTheme="minorEastAsia" w:eastAsiaTheme="minorEastAsia" w:cstheme="minorEastAsia"/>
                      <w:color w:val="auto"/>
                      <w:sz w:val="20"/>
                      <w:szCs w:val="20"/>
                      <w:highlight w:val="none"/>
                    </w:rPr>
                  </w:pPr>
                </w:p>
              </w:tc>
              <w:tc>
                <w:tcPr>
                  <w:tcW w:w="2691" w:type="pct"/>
                  <w:noWrap w:val="0"/>
                  <w:vAlign w:val="center"/>
                </w:tcPr>
                <w:p w14:paraId="42EE9FF3">
                  <w:pPr>
                    <w:pStyle w:val="9"/>
                    <w:adjustRightInd w:val="0"/>
                    <w:spacing w:line="240" w:lineRule="auto"/>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9、向城市道路、下水道、公共场所、城市绿地倾倒、排放废水和污水、污物的</w:t>
                  </w:r>
                </w:p>
              </w:tc>
              <w:tc>
                <w:tcPr>
                  <w:tcW w:w="1026" w:type="pct"/>
                  <w:noWrap w:val="0"/>
                  <w:vAlign w:val="center"/>
                </w:tcPr>
                <w:p w14:paraId="457EDFDD">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50元/宗</w:t>
                  </w:r>
                </w:p>
              </w:tc>
              <w:tc>
                <w:tcPr>
                  <w:tcW w:w="745" w:type="pct"/>
                  <w:noWrap w:val="0"/>
                  <w:vAlign w:val="center"/>
                </w:tcPr>
                <w:p w14:paraId="7E4E9E82">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p>
              </w:tc>
            </w:tr>
            <w:tr w14:paraId="25875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6" w:type="pct"/>
                  <w:vMerge w:val="continue"/>
                  <w:noWrap w:val="0"/>
                  <w:vAlign w:val="center"/>
                </w:tcPr>
                <w:p w14:paraId="07FD11EB">
                  <w:pPr>
                    <w:widowControl/>
                    <w:spacing w:line="240" w:lineRule="auto"/>
                    <w:jc w:val="left"/>
                    <w:rPr>
                      <w:rFonts w:hint="eastAsia" w:asciiTheme="minorEastAsia" w:hAnsiTheme="minorEastAsia" w:eastAsiaTheme="minorEastAsia" w:cstheme="minorEastAsia"/>
                      <w:color w:val="auto"/>
                      <w:sz w:val="20"/>
                      <w:szCs w:val="20"/>
                      <w:highlight w:val="none"/>
                    </w:rPr>
                  </w:pPr>
                </w:p>
              </w:tc>
              <w:tc>
                <w:tcPr>
                  <w:tcW w:w="2691" w:type="pct"/>
                  <w:noWrap w:val="0"/>
                  <w:vAlign w:val="center"/>
                </w:tcPr>
                <w:p w14:paraId="520643C8">
                  <w:pPr>
                    <w:pStyle w:val="9"/>
                    <w:adjustRightInd w:val="0"/>
                    <w:spacing w:line="240" w:lineRule="auto"/>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10、向雨水管倾倒、排放淤泥渣土或者其它废弃物的</w:t>
                  </w:r>
                </w:p>
              </w:tc>
              <w:tc>
                <w:tcPr>
                  <w:tcW w:w="1026" w:type="pct"/>
                  <w:noWrap w:val="0"/>
                  <w:vAlign w:val="center"/>
                </w:tcPr>
                <w:p w14:paraId="7FD853B9">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100元/宗</w:t>
                  </w:r>
                </w:p>
              </w:tc>
              <w:tc>
                <w:tcPr>
                  <w:tcW w:w="745" w:type="pct"/>
                  <w:noWrap w:val="0"/>
                  <w:vAlign w:val="center"/>
                </w:tcPr>
                <w:p w14:paraId="712B33A1">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p>
              </w:tc>
            </w:tr>
            <w:tr w14:paraId="199F4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6" w:type="pct"/>
                  <w:vMerge w:val="continue"/>
                  <w:noWrap w:val="0"/>
                  <w:vAlign w:val="center"/>
                </w:tcPr>
                <w:p w14:paraId="545A6F9A">
                  <w:pPr>
                    <w:widowControl/>
                    <w:spacing w:line="240" w:lineRule="auto"/>
                    <w:jc w:val="left"/>
                    <w:rPr>
                      <w:rFonts w:hint="eastAsia" w:asciiTheme="minorEastAsia" w:hAnsiTheme="minorEastAsia" w:eastAsiaTheme="minorEastAsia" w:cstheme="minorEastAsia"/>
                      <w:color w:val="auto"/>
                      <w:sz w:val="20"/>
                      <w:szCs w:val="20"/>
                      <w:highlight w:val="none"/>
                    </w:rPr>
                  </w:pPr>
                </w:p>
              </w:tc>
              <w:tc>
                <w:tcPr>
                  <w:tcW w:w="2691" w:type="pct"/>
                  <w:noWrap w:val="0"/>
                  <w:vAlign w:val="center"/>
                </w:tcPr>
                <w:p w14:paraId="0824F8A0">
                  <w:pPr>
                    <w:pStyle w:val="9"/>
                    <w:adjustRightInd w:val="0"/>
                    <w:spacing w:line="240" w:lineRule="auto"/>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11、沿路兜售、沿路流浪乞讨的</w:t>
                  </w:r>
                </w:p>
              </w:tc>
              <w:tc>
                <w:tcPr>
                  <w:tcW w:w="1026" w:type="pct"/>
                  <w:noWrap w:val="0"/>
                  <w:vAlign w:val="center"/>
                </w:tcPr>
                <w:p w14:paraId="4F5E88BC">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500元/人</w:t>
                  </w:r>
                </w:p>
              </w:tc>
              <w:tc>
                <w:tcPr>
                  <w:tcW w:w="745" w:type="pct"/>
                  <w:noWrap w:val="0"/>
                  <w:vAlign w:val="center"/>
                </w:tcPr>
                <w:p w14:paraId="4A1951CC">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p>
              </w:tc>
            </w:tr>
            <w:tr w14:paraId="114EF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6" w:type="pct"/>
                  <w:vMerge w:val="continue"/>
                  <w:noWrap w:val="0"/>
                  <w:vAlign w:val="center"/>
                </w:tcPr>
                <w:p w14:paraId="4C06E877">
                  <w:pPr>
                    <w:widowControl/>
                    <w:spacing w:line="240" w:lineRule="auto"/>
                    <w:jc w:val="left"/>
                    <w:rPr>
                      <w:rFonts w:hint="eastAsia" w:asciiTheme="minorEastAsia" w:hAnsiTheme="minorEastAsia" w:eastAsiaTheme="minorEastAsia" w:cstheme="minorEastAsia"/>
                      <w:color w:val="auto"/>
                      <w:sz w:val="20"/>
                      <w:szCs w:val="20"/>
                      <w:highlight w:val="none"/>
                    </w:rPr>
                  </w:pPr>
                </w:p>
              </w:tc>
              <w:tc>
                <w:tcPr>
                  <w:tcW w:w="2691" w:type="pct"/>
                  <w:noWrap w:val="0"/>
                  <w:vAlign w:val="center"/>
                </w:tcPr>
                <w:p w14:paraId="0D0D93D6">
                  <w:pPr>
                    <w:pStyle w:val="9"/>
                    <w:adjustRightInd w:val="0"/>
                    <w:spacing w:line="240" w:lineRule="auto"/>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12、露天或搭棚或利用其它简便设施睡觉、居住、摆卖物品的</w:t>
                  </w:r>
                </w:p>
              </w:tc>
              <w:tc>
                <w:tcPr>
                  <w:tcW w:w="1026" w:type="pct"/>
                  <w:noWrap w:val="0"/>
                  <w:vAlign w:val="center"/>
                </w:tcPr>
                <w:p w14:paraId="18236935">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100元/人</w:t>
                  </w:r>
                </w:p>
              </w:tc>
              <w:tc>
                <w:tcPr>
                  <w:tcW w:w="745" w:type="pct"/>
                  <w:noWrap w:val="0"/>
                  <w:vAlign w:val="center"/>
                </w:tcPr>
                <w:p w14:paraId="6CCF30DB">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p>
              </w:tc>
            </w:tr>
            <w:tr w14:paraId="0FEA6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6" w:type="pct"/>
                  <w:vMerge w:val="continue"/>
                  <w:noWrap w:val="0"/>
                  <w:vAlign w:val="center"/>
                </w:tcPr>
                <w:p w14:paraId="018C007B">
                  <w:pPr>
                    <w:widowControl/>
                    <w:spacing w:line="240" w:lineRule="auto"/>
                    <w:jc w:val="left"/>
                    <w:rPr>
                      <w:rFonts w:hint="eastAsia" w:asciiTheme="minorEastAsia" w:hAnsiTheme="minorEastAsia" w:eastAsiaTheme="minorEastAsia" w:cstheme="minorEastAsia"/>
                      <w:color w:val="auto"/>
                      <w:sz w:val="20"/>
                      <w:szCs w:val="20"/>
                      <w:highlight w:val="none"/>
                    </w:rPr>
                  </w:pPr>
                </w:p>
              </w:tc>
              <w:tc>
                <w:tcPr>
                  <w:tcW w:w="2691" w:type="pct"/>
                  <w:noWrap w:val="0"/>
                  <w:vAlign w:val="center"/>
                </w:tcPr>
                <w:p w14:paraId="61E3F2CA">
                  <w:pPr>
                    <w:pStyle w:val="9"/>
                    <w:adjustRightInd w:val="0"/>
                    <w:spacing w:line="240" w:lineRule="auto"/>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13、在绿化带内进行损坏绿化的娱乐活动的</w:t>
                  </w:r>
                </w:p>
              </w:tc>
              <w:tc>
                <w:tcPr>
                  <w:tcW w:w="1026" w:type="pct"/>
                  <w:noWrap w:val="0"/>
                  <w:vAlign w:val="center"/>
                </w:tcPr>
                <w:p w14:paraId="584B2F32">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100元/人</w:t>
                  </w:r>
                </w:p>
              </w:tc>
              <w:tc>
                <w:tcPr>
                  <w:tcW w:w="745" w:type="pct"/>
                  <w:noWrap w:val="0"/>
                  <w:vAlign w:val="center"/>
                </w:tcPr>
                <w:p w14:paraId="724AFD98">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p>
              </w:tc>
            </w:tr>
            <w:tr w14:paraId="7C367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6" w:type="pct"/>
                  <w:vMerge w:val="continue"/>
                  <w:noWrap w:val="0"/>
                  <w:vAlign w:val="center"/>
                </w:tcPr>
                <w:p w14:paraId="3DD0BBE8">
                  <w:pPr>
                    <w:widowControl/>
                    <w:spacing w:line="240" w:lineRule="auto"/>
                    <w:jc w:val="left"/>
                    <w:rPr>
                      <w:rFonts w:hint="eastAsia" w:asciiTheme="minorEastAsia" w:hAnsiTheme="minorEastAsia" w:eastAsiaTheme="minorEastAsia" w:cstheme="minorEastAsia"/>
                      <w:color w:val="auto"/>
                      <w:sz w:val="20"/>
                      <w:szCs w:val="20"/>
                      <w:highlight w:val="none"/>
                    </w:rPr>
                  </w:pPr>
                </w:p>
              </w:tc>
              <w:tc>
                <w:tcPr>
                  <w:tcW w:w="2691" w:type="pct"/>
                  <w:noWrap w:val="0"/>
                  <w:vAlign w:val="center"/>
                </w:tcPr>
                <w:p w14:paraId="7F8CA514">
                  <w:pPr>
                    <w:pStyle w:val="9"/>
                    <w:adjustRightInd w:val="0"/>
                    <w:spacing w:line="240" w:lineRule="auto"/>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14、绿化设施被破坏、被侵占的</w:t>
                  </w:r>
                </w:p>
              </w:tc>
              <w:tc>
                <w:tcPr>
                  <w:tcW w:w="1026" w:type="pct"/>
                  <w:noWrap w:val="0"/>
                  <w:vAlign w:val="center"/>
                </w:tcPr>
                <w:p w14:paraId="18BC1D90">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100</w:t>
                  </w:r>
                  <w:r>
                    <w:rPr>
                      <w:rFonts w:hint="eastAsia" w:asciiTheme="minorEastAsia" w:hAnsiTheme="minorEastAsia" w:eastAsiaTheme="minorEastAsia" w:cstheme="minorEastAsia"/>
                      <w:color w:val="auto"/>
                      <w:sz w:val="20"/>
                      <w:szCs w:val="20"/>
                      <w:highlight w:val="none"/>
                      <w:lang w:val="en-US" w:eastAsia="zh-CN"/>
                    </w:rPr>
                    <w:t>0</w:t>
                  </w:r>
                  <w:r>
                    <w:rPr>
                      <w:rFonts w:hint="eastAsia" w:asciiTheme="minorEastAsia" w:hAnsiTheme="minorEastAsia" w:eastAsiaTheme="minorEastAsia" w:cstheme="minorEastAsia"/>
                      <w:color w:val="auto"/>
                      <w:sz w:val="20"/>
                      <w:szCs w:val="20"/>
                      <w:highlight w:val="none"/>
                    </w:rPr>
                    <w:t>元/宗</w:t>
                  </w:r>
                </w:p>
              </w:tc>
              <w:tc>
                <w:tcPr>
                  <w:tcW w:w="745" w:type="pct"/>
                  <w:noWrap w:val="0"/>
                  <w:vAlign w:val="center"/>
                </w:tcPr>
                <w:p w14:paraId="635CDD7B">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p>
              </w:tc>
            </w:tr>
            <w:tr w14:paraId="3B6C9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6" w:type="pct"/>
                  <w:vMerge w:val="continue"/>
                  <w:noWrap w:val="0"/>
                  <w:vAlign w:val="center"/>
                </w:tcPr>
                <w:p w14:paraId="1BB6A3A2">
                  <w:pPr>
                    <w:widowControl/>
                    <w:spacing w:line="240" w:lineRule="auto"/>
                    <w:jc w:val="left"/>
                    <w:rPr>
                      <w:rFonts w:hint="eastAsia" w:asciiTheme="minorEastAsia" w:hAnsiTheme="minorEastAsia" w:eastAsiaTheme="minorEastAsia" w:cstheme="minorEastAsia"/>
                      <w:color w:val="auto"/>
                      <w:sz w:val="20"/>
                      <w:szCs w:val="20"/>
                      <w:highlight w:val="none"/>
                    </w:rPr>
                  </w:pPr>
                </w:p>
              </w:tc>
              <w:tc>
                <w:tcPr>
                  <w:tcW w:w="2691" w:type="pct"/>
                  <w:noWrap w:val="0"/>
                  <w:vAlign w:val="center"/>
                </w:tcPr>
                <w:p w14:paraId="528548F5">
                  <w:pPr>
                    <w:pStyle w:val="9"/>
                    <w:adjustRightInd w:val="0"/>
                    <w:spacing w:line="240" w:lineRule="auto"/>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15、擅自砍伐、迁移树林的</w:t>
                  </w:r>
                </w:p>
              </w:tc>
              <w:tc>
                <w:tcPr>
                  <w:tcW w:w="1026" w:type="pct"/>
                  <w:noWrap w:val="0"/>
                  <w:vAlign w:val="center"/>
                </w:tcPr>
                <w:p w14:paraId="0E2D353B">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100元/</w:t>
                  </w:r>
                  <w:r>
                    <w:rPr>
                      <w:rFonts w:hint="eastAsia" w:asciiTheme="minorEastAsia" w:hAnsiTheme="minorEastAsia" w:eastAsiaTheme="minorEastAsia" w:cstheme="minorEastAsia"/>
                      <w:color w:val="auto"/>
                      <w:sz w:val="20"/>
                      <w:szCs w:val="20"/>
                      <w:highlight w:val="none"/>
                      <w:lang w:val="en-US" w:eastAsia="zh-CN"/>
                    </w:rPr>
                    <w:t>棵</w:t>
                  </w:r>
                </w:p>
              </w:tc>
              <w:tc>
                <w:tcPr>
                  <w:tcW w:w="745" w:type="pct"/>
                  <w:noWrap w:val="0"/>
                  <w:vAlign w:val="center"/>
                </w:tcPr>
                <w:p w14:paraId="3B156D61">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p>
              </w:tc>
            </w:tr>
            <w:tr w14:paraId="2B4AA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6" w:type="pct"/>
                  <w:vMerge w:val="continue"/>
                  <w:noWrap w:val="0"/>
                  <w:vAlign w:val="center"/>
                </w:tcPr>
                <w:p w14:paraId="377DBBE3">
                  <w:pPr>
                    <w:widowControl/>
                    <w:spacing w:line="240" w:lineRule="auto"/>
                    <w:jc w:val="left"/>
                    <w:rPr>
                      <w:rFonts w:hint="eastAsia" w:asciiTheme="minorEastAsia" w:hAnsiTheme="minorEastAsia" w:eastAsiaTheme="minorEastAsia" w:cstheme="minorEastAsia"/>
                      <w:color w:val="auto"/>
                      <w:sz w:val="20"/>
                      <w:szCs w:val="20"/>
                      <w:highlight w:val="none"/>
                    </w:rPr>
                  </w:pPr>
                </w:p>
              </w:tc>
              <w:tc>
                <w:tcPr>
                  <w:tcW w:w="2691" w:type="pct"/>
                  <w:noWrap w:val="0"/>
                  <w:vAlign w:val="center"/>
                </w:tcPr>
                <w:p w14:paraId="7646687C">
                  <w:pPr>
                    <w:pStyle w:val="9"/>
                    <w:adjustRightInd w:val="0"/>
                    <w:spacing w:line="240" w:lineRule="auto"/>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16、临街工地未设置护栏或未作遮挡的</w:t>
                  </w:r>
                </w:p>
              </w:tc>
              <w:tc>
                <w:tcPr>
                  <w:tcW w:w="1026" w:type="pct"/>
                  <w:noWrap w:val="0"/>
                  <w:vAlign w:val="center"/>
                </w:tcPr>
                <w:p w14:paraId="0CCDA45C">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100</w:t>
                  </w:r>
                  <w:r>
                    <w:rPr>
                      <w:rFonts w:hint="eastAsia" w:asciiTheme="minorEastAsia" w:hAnsiTheme="minorEastAsia" w:eastAsiaTheme="minorEastAsia" w:cstheme="minorEastAsia"/>
                      <w:color w:val="auto"/>
                      <w:sz w:val="20"/>
                      <w:szCs w:val="20"/>
                      <w:highlight w:val="none"/>
                      <w:lang w:val="en-US" w:eastAsia="zh-CN"/>
                    </w:rPr>
                    <w:t>0</w:t>
                  </w:r>
                  <w:r>
                    <w:rPr>
                      <w:rFonts w:hint="eastAsia" w:asciiTheme="minorEastAsia" w:hAnsiTheme="minorEastAsia" w:eastAsiaTheme="minorEastAsia" w:cstheme="minorEastAsia"/>
                      <w:color w:val="auto"/>
                      <w:sz w:val="20"/>
                      <w:szCs w:val="20"/>
                      <w:highlight w:val="none"/>
                    </w:rPr>
                    <w:t>元/宗</w:t>
                  </w:r>
                </w:p>
              </w:tc>
              <w:tc>
                <w:tcPr>
                  <w:tcW w:w="745" w:type="pct"/>
                  <w:noWrap w:val="0"/>
                  <w:vAlign w:val="center"/>
                </w:tcPr>
                <w:p w14:paraId="3CA09FF4">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p>
              </w:tc>
            </w:tr>
            <w:tr w14:paraId="5A1AC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6" w:type="pct"/>
                  <w:vMerge w:val="continue"/>
                  <w:noWrap w:val="0"/>
                  <w:vAlign w:val="center"/>
                </w:tcPr>
                <w:p w14:paraId="5E868B58">
                  <w:pPr>
                    <w:widowControl/>
                    <w:spacing w:line="240" w:lineRule="auto"/>
                    <w:jc w:val="left"/>
                    <w:rPr>
                      <w:rFonts w:hint="eastAsia" w:asciiTheme="minorEastAsia" w:hAnsiTheme="minorEastAsia" w:eastAsiaTheme="minorEastAsia" w:cstheme="minorEastAsia"/>
                      <w:color w:val="auto"/>
                      <w:sz w:val="20"/>
                      <w:szCs w:val="20"/>
                      <w:highlight w:val="none"/>
                    </w:rPr>
                  </w:pPr>
                </w:p>
              </w:tc>
              <w:tc>
                <w:tcPr>
                  <w:tcW w:w="2691" w:type="pct"/>
                  <w:noWrap w:val="0"/>
                  <w:vAlign w:val="center"/>
                </w:tcPr>
                <w:p w14:paraId="46A4BBD9">
                  <w:pPr>
                    <w:pStyle w:val="9"/>
                    <w:adjustRightInd w:val="0"/>
                    <w:spacing w:line="240" w:lineRule="auto"/>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17、未经批准，占用人行道进行施工或设置各种设施的</w:t>
                  </w:r>
                </w:p>
              </w:tc>
              <w:tc>
                <w:tcPr>
                  <w:tcW w:w="1026" w:type="pct"/>
                  <w:noWrap w:val="0"/>
                  <w:vAlign w:val="center"/>
                </w:tcPr>
                <w:p w14:paraId="699A4B70">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lang w:val="en-US" w:eastAsia="zh-CN"/>
                    </w:rPr>
                    <w:t>5</w:t>
                  </w:r>
                  <w:r>
                    <w:rPr>
                      <w:rFonts w:hint="eastAsia" w:asciiTheme="minorEastAsia" w:hAnsiTheme="minorEastAsia" w:eastAsiaTheme="minorEastAsia" w:cstheme="minorEastAsia"/>
                      <w:color w:val="auto"/>
                      <w:sz w:val="20"/>
                      <w:szCs w:val="20"/>
                      <w:highlight w:val="none"/>
                    </w:rPr>
                    <w:t>00元/宗</w:t>
                  </w:r>
                </w:p>
              </w:tc>
              <w:tc>
                <w:tcPr>
                  <w:tcW w:w="745" w:type="pct"/>
                  <w:noWrap w:val="0"/>
                  <w:vAlign w:val="center"/>
                </w:tcPr>
                <w:p w14:paraId="1AE48EF0">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p>
              </w:tc>
            </w:tr>
            <w:tr w14:paraId="7D69E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6" w:type="pct"/>
                  <w:vMerge w:val="continue"/>
                  <w:noWrap w:val="0"/>
                  <w:vAlign w:val="center"/>
                </w:tcPr>
                <w:p w14:paraId="32EB812D">
                  <w:pPr>
                    <w:widowControl/>
                    <w:spacing w:line="240" w:lineRule="auto"/>
                    <w:jc w:val="left"/>
                    <w:rPr>
                      <w:rFonts w:hint="eastAsia" w:asciiTheme="minorEastAsia" w:hAnsiTheme="minorEastAsia" w:eastAsiaTheme="minorEastAsia" w:cstheme="minorEastAsia"/>
                      <w:color w:val="auto"/>
                      <w:sz w:val="20"/>
                      <w:szCs w:val="20"/>
                      <w:highlight w:val="none"/>
                    </w:rPr>
                  </w:pPr>
                </w:p>
              </w:tc>
              <w:tc>
                <w:tcPr>
                  <w:tcW w:w="2691" w:type="pct"/>
                  <w:noWrap w:val="0"/>
                  <w:vAlign w:val="center"/>
                </w:tcPr>
                <w:p w14:paraId="761E9D3E">
                  <w:pPr>
                    <w:pStyle w:val="9"/>
                    <w:adjustRightInd w:val="0"/>
                    <w:spacing w:line="240" w:lineRule="auto"/>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18、商场、门店超出门、窗外墙摆卖、经营的</w:t>
                  </w:r>
                </w:p>
              </w:tc>
              <w:tc>
                <w:tcPr>
                  <w:tcW w:w="1026" w:type="pct"/>
                  <w:noWrap w:val="0"/>
                  <w:vAlign w:val="center"/>
                </w:tcPr>
                <w:p w14:paraId="308EDCE5">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50元/宗</w:t>
                  </w:r>
                </w:p>
              </w:tc>
              <w:tc>
                <w:tcPr>
                  <w:tcW w:w="745" w:type="pct"/>
                  <w:noWrap w:val="0"/>
                  <w:vAlign w:val="center"/>
                </w:tcPr>
                <w:p w14:paraId="4482191B">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p>
              </w:tc>
            </w:tr>
            <w:tr w14:paraId="568D3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6" w:type="pct"/>
                  <w:vMerge w:val="continue"/>
                  <w:noWrap w:val="0"/>
                  <w:vAlign w:val="center"/>
                </w:tcPr>
                <w:p w14:paraId="39AFB79B">
                  <w:pPr>
                    <w:widowControl/>
                    <w:spacing w:line="240" w:lineRule="auto"/>
                    <w:jc w:val="left"/>
                    <w:rPr>
                      <w:rFonts w:hint="eastAsia" w:asciiTheme="minorEastAsia" w:hAnsiTheme="minorEastAsia" w:eastAsiaTheme="minorEastAsia" w:cstheme="minorEastAsia"/>
                      <w:color w:val="auto"/>
                      <w:sz w:val="20"/>
                      <w:szCs w:val="20"/>
                      <w:highlight w:val="none"/>
                    </w:rPr>
                  </w:pPr>
                </w:p>
              </w:tc>
              <w:tc>
                <w:tcPr>
                  <w:tcW w:w="2691" w:type="pct"/>
                  <w:vMerge w:val="restart"/>
                  <w:noWrap w:val="0"/>
                  <w:vAlign w:val="center"/>
                </w:tcPr>
                <w:p w14:paraId="2A5516D6">
                  <w:pPr>
                    <w:pStyle w:val="9"/>
                    <w:adjustRightInd w:val="0"/>
                    <w:spacing w:line="240" w:lineRule="auto"/>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strike w:val="0"/>
                      <w:dstrike w:val="0"/>
                      <w:color w:val="auto"/>
                      <w:sz w:val="20"/>
                      <w:szCs w:val="20"/>
                      <w:highlight w:val="none"/>
                      <w:lang w:val="en-US" w:eastAsia="zh-CN"/>
                    </w:rPr>
                    <w:t>19</w:t>
                  </w:r>
                  <w:r>
                    <w:rPr>
                      <w:rFonts w:hint="eastAsia" w:asciiTheme="minorEastAsia" w:hAnsiTheme="minorEastAsia" w:eastAsiaTheme="minorEastAsia" w:cstheme="minorEastAsia"/>
                      <w:strike w:val="0"/>
                      <w:dstrike w:val="0"/>
                      <w:color w:val="auto"/>
                      <w:sz w:val="20"/>
                      <w:szCs w:val="20"/>
                      <w:highlight w:val="none"/>
                    </w:rPr>
                    <w:t>、占用道路两侧、绿化带或其它公共场所摆摊设点、销售商品的</w:t>
                  </w:r>
                </w:p>
              </w:tc>
              <w:tc>
                <w:tcPr>
                  <w:tcW w:w="1026" w:type="pct"/>
                  <w:noWrap w:val="0"/>
                  <w:vAlign w:val="center"/>
                </w:tcPr>
                <w:p w14:paraId="02EC8C7C">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p>
              </w:tc>
              <w:tc>
                <w:tcPr>
                  <w:tcW w:w="745" w:type="pct"/>
                  <w:noWrap w:val="0"/>
                  <w:vAlign w:val="center"/>
                </w:tcPr>
                <w:p w14:paraId="7AEAEDC8">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p>
              </w:tc>
            </w:tr>
            <w:tr w14:paraId="35C18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6" w:type="pct"/>
                  <w:vMerge w:val="continue"/>
                  <w:noWrap w:val="0"/>
                  <w:vAlign w:val="center"/>
                </w:tcPr>
                <w:p w14:paraId="62F10EBA">
                  <w:pPr>
                    <w:widowControl/>
                    <w:spacing w:line="240" w:lineRule="auto"/>
                    <w:jc w:val="left"/>
                    <w:rPr>
                      <w:rFonts w:hint="eastAsia" w:asciiTheme="minorEastAsia" w:hAnsiTheme="minorEastAsia" w:eastAsiaTheme="minorEastAsia" w:cstheme="minorEastAsia"/>
                      <w:color w:val="auto"/>
                      <w:sz w:val="20"/>
                      <w:szCs w:val="20"/>
                      <w:highlight w:val="none"/>
                    </w:rPr>
                  </w:pPr>
                </w:p>
              </w:tc>
              <w:tc>
                <w:tcPr>
                  <w:tcW w:w="2691" w:type="pct"/>
                  <w:vMerge w:val="continue"/>
                  <w:noWrap w:val="0"/>
                  <w:vAlign w:val="center"/>
                </w:tcPr>
                <w:p w14:paraId="6DA43CF5">
                  <w:pPr>
                    <w:pStyle w:val="9"/>
                    <w:adjustRightInd w:val="0"/>
                    <w:spacing w:line="240" w:lineRule="auto"/>
                    <w:rPr>
                      <w:rFonts w:hint="eastAsia" w:asciiTheme="minorEastAsia" w:hAnsiTheme="minorEastAsia" w:eastAsiaTheme="minorEastAsia" w:cstheme="minorEastAsia"/>
                      <w:color w:val="auto"/>
                      <w:sz w:val="20"/>
                      <w:szCs w:val="20"/>
                      <w:highlight w:val="none"/>
                    </w:rPr>
                  </w:pPr>
                </w:p>
              </w:tc>
              <w:tc>
                <w:tcPr>
                  <w:tcW w:w="1026" w:type="pct"/>
                  <w:noWrap w:val="0"/>
                  <w:vAlign w:val="center"/>
                </w:tcPr>
                <w:p w14:paraId="011B94E1">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50元/宗</w:t>
                  </w:r>
                </w:p>
              </w:tc>
              <w:tc>
                <w:tcPr>
                  <w:tcW w:w="745" w:type="pct"/>
                  <w:noWrap w:val="0"/>
                  <w:vAlign w:val="center"/>
                </w:tcPr>
                <w:p w14:paraId="3C580583">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p>
              </w:tc>
            </w:tr>
            <w:tr w14:paraId="3895B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6" w:type="pct"/>
                  <w:vMerge w:val="continue"/>
                  <w:noWrap w:val="0"/>
                  <w:vAlign w:val="center"/>
                </w:tcPr>
                <w:p w14:paraId="272583C8">
                  <w:pPr>
                    <w:widowControl/>
                    <w:spacing w:line="240" w:lineRule="auto"/>
                    <w:jc w:val="left"/>
                    <w:rPr>
                      <w:rFonts w:hint="eastAsia" w:asciiTheme="minorEastAsia" w:hAnsiTheme="minorEastAsia" w:eastAsiaTheme="minorEastAsia" w:cstheme="minorEastAsia"/>
                      <w:color w:val="auto"/>
                      <w:sz w:val="20"/>
                      <w:szCs w:val="20"/>
                      <w:highlight w:val="none"/>
                    </w:rPr>
                  </w:pPr>
                </w:p>
              </w:tc>
              <w:tc>
                <w:tcPr>
                  <w:tcW w:w="2691" w:type="pct"/>
                  <w:noWrap w:val="0"/>
                  <w:vAlign w:val="center"/>
                </w:tcPr>
                <w:p w14:paraId="4CB4E4B3">
                  <w:pPr>
                    <w:pStyle w:val="9"/>
                    <w:adjustRightInd w:val="0"/>
                    <w:spacing w:line="240" w:lineRule="auto"/>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2</w:t>
                  </w:r>
                  <w:r>
                    <w:rPr>
                      <w:rFonts w:hint="eastAsia" w:asciiTheme="minorEastAsia" w:hAnsiTheme="minorEastAsia" w:eastAsiaTheme="minorEastAsia" w:cstheme="minorEastAsia"/>
                      <w:color w:val="auto"/>
                      <w:sz w:val="20"/>
                      <w:szCs w:val="20"/>
                      <w:highlight w:val="none"/>
                      <w:lang w:val="en-US" w:eastAsia="zh-CN"/>
                    </w:rPr>
                    <w:t>0</w:t>
                  </w:r>
                  <w:r>
                    <w:rPr>
                      <w:rFonts w:hint="eastAsia" w:asciiTheme="minorEastAsia" w:hAnsiTheme="minorEastAsia" w:eastAsiaTheme="minorEastAsia" w:cstheme="minorEastAsia"/>
                      <w:color w:val="auto"/>
                      <w:sz w:val="20"/>
                      <w:szCs w:val="20"/>
                      <w:highlight w:val="none"/>
                    </w:rPr>
                    <w:t>、乱搭建建筑物、构筑物或者其它设施的</w:t>
                  </w:r>
                </w:p>
              </w:tc>
              <w:tc>
                <w:tcPr>
                  <w:tcW w:w="1026" w:type="pct"/>
                  <w:noWrap w:val="0"/>
                  <w:vAlign w:val="center"/>
                </w:tcPr>
                <w:p w14:paraId="0B330708">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500元/宗</w:t>
                  </w:r>
                </w:p>
              </w:tc>
              <w:tc>
                <w:tcPr>
                  <w:tcW w:w="745" w:type="pct"/>
                  <w:noWrap w:val="0"/>
                  <w:vAlign w:val="center"/>
                </w:tcPr>
                <w:p w14:paraId="759ED69E">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p>
              </w:tc>
            </w:tr>
            <w:tr w14:paraId="70C55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6" w:type="pct"/>
                  <w:vMerge w:val="continue"/>
                  <w:noWrap w:val="0"/>
                  <w:vAlign w:val="center"/>
                </w:tcPr>
                <w:p w14:paraId="43A36A94">
                  <w:pPr>
                    <w:widowControl/>
                    <w:spacing w:line="240" w:lineRule="auto"/>
                    <w:jc w:val="left"/>
                    <w:rPr>
                      <w:rFonts w:hint="eastAsia" w:asciiTheme="minorEastAsia" w:hAnsiTheme="minorEastAsia" w:eastAsiaTheme="minorEastAsia" w:cstheme="minorEastAsia"/>
                      <w:color w:val="auto"/>
                      <w:sz w:val="20"/>
                      <w:szCs w:val="20"/>
                      <w:highlight w:val="none"/>
                    </w:rPr>
                  </w:pPr>
                </w:p>
              </w:tc>
              <w:tc>
                <w:tcPr>
                  <w:tcW w:w="2691" w:type="pct"/>
                  <w:noWrap w:val="0"/>
                  <w:vAlign w:val="center"/>
                </w:tcPr>
                <w:p w14:paraId="3200472F">
                  <w:pPr>
                    <w:pStyle w:val="9"/>
                    <w:adjustRightInd w:val="0"/>
                    <w:spacing w:line="240" w:lineRule="auto"/>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2</w:t>
                  </w:r>
                  <w:r>
                    <w:rPr>
                      <w:rFonts w:hint="eastAsia" w:asciiTheme="minorEastAsia" w:hAnsiTheme="minorEastAsia" w:eastAsiaTheme="minorEastAsia" w:cstheme="minorEastAsia"/>
                      <w:color w:val="auto"/>
                      <w:sz w:val="20"/>
                      <w:szCs w:val="20"/>
                      <w:highlight w:val="none"/>
                      <w:lang w:val="en-US" w:eastAsia="zh-CN"/>
                    </w:rPr>
                    <w:t>1</w:t>
                  </w:r>
                  <w:r>
                    <w:rPr>
                      <w:rFonts w:hint="eastAsia" w:asciiTheme="minorEastAsia" w:hAnsiTheme="minorEastAsia" w:eastAsiaTheme="minorEastAsia" w:cstheme="minorEastAsia"/>
                      <w:color w:val="auto"/>
                      <w:sz w:val="20"/>
                      <w:szCs w:val="20"/>
                      <w:highlight w:val="none"/>
                    </w:rPr>
                    <w:t>、擅自挖掘人行道、绿化带的</w:t>
                  </w:r>
                </w:p>
              </w:tc>
              <w:tc>
                <w:tcPr>
                  <w:tcW w:w="1026" w:type="pct"/>
                  <w:noWrap w:val="0"/>
                  <w:vAlign w:val="center"/>
                </w:tcPr>
                <w:p w14:paraId="62F17E3C">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lang w:val="en-US" w:eastAsia="zh-CN"/>
                    </w:rPr>
                    <w:t>2000</w:t>
                  </w:r>
                  <w:r>
                    <w:rPr>
                      <w:rFonts w:hint="eastAsia" w:asciiTheme="minorEastAsia" w:hAnsiTheme="minorEastAsia" w:eastAsiaTheme="minorEastAsia" w:cstheme="minorEastAsia"/>
                      <w:color w:val="auto"/>
                      <w:sz w:val="20"/>
                      <w:szCs w:val="20"/>
                      <w:highlight w:val="none"/>
                    </w:rPr>
                    <w:t>元/宗</w:t>
                  </w:r>
                </w:p>
              </w:tc>
              <w:tc>
                <w:tcPr>
                  <w:tcW w:w="745" w:type="pct"/>
                  <w:noWrap w:val="0"/>
                  <w:vAlign w:val="center"/>
                </w:tcPr>
                <w:p w14:paraId="00745C8E">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p>
              </w:tc>
            </w:tr>
            <w:tr w14:paraId="0C07A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atLeast"/>
                <w:jc w:val="center"/>
              </w:trPr>
              <w:tc>
                <w:tcPr>
                  <w:tcW w:w="536" w:type="pct"/>
                  <w:vMerge w:val="continue"/>
                  <w:noWrap w:val="0"/>
                  <w:vAlign w:val="center"/>
                </w:tcPr>
                <w:p w14:paraId="301211F7">
                  <w:pPr>
                    <w:widowControl/>
                    <w:spacing w:line="240" w:lineRule="auto"/>
                    <w:jc w:val="left"/>
                    <w:rPr>
                      <w:rFonts w:hint="eastAsia" w:asciiTheme="minorEastAsia" w:hAnsiTheme="minorEastAsia" w:eastAsiaTheme="minorEastAsia" w:cstheme="minorEastAsia"/>
                      <w:color w:val="auto"/>
                      <w:sz w:val="20"/>
                      <w:szCs w:val="20"/>
                      <w:highlight w:val="none"/>
                    </w:rPr>
                  </w:pPr>
                </w:p>
              </w:tc>
              <w:tc>
                <w:tcPr>
                  <w:tcW w:w="2691" w:type="pct"/>
                  <w:noWrap w:val="0"/>
                  <w:vAlign w:val="center"/>
                </w:tcPr>
                <w:p w14:paraId="73FEF3AB">
                  <w:pPr>
                    <w:pStyle w:val="9"/>
                    <w:adjustRightInd w:val="0"/>
                    <w:spacing w:line="240" w:lineRule="auto"/>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2</w:t>
                  </w:r>
                  <w:r>
                    <w:rPr>
                      <w:rFonts w:hint="eastAsia" w:asciiTheme="minorEastAsia" w:hAnsiTheme="minorEastAsia" w:eastAsiaTheme="minorEastAsia" w:cstheme="minorEastAsia"/>
                      <w:color w:val="auto"/>
                      <w:sz w:val="20"/>
                      <w:szCs w:val="20"/>
                      <w:highlight w:val="none"/>
                      <w:lang w:val="en-US" w:eastAsia="zh-CN"/>
                    </w:rPr>
                    <w:t>2</w:t>
                  </w:r>
                  <w:r>
                    <w:rPr>
                      <w:rFonts w:hint="eastAsia" w:asciiTheme="minorEastAsia" w:hAnsiTheme="minorEastAsia" w:eastAsiaTheme="minorEastAsia" w:cstheme="minorEastAsia"/>
                      <w:color w:val="auto"/>
                      <w:sz w:val="20"/>
                      <w:szCs w:val="20"/>
                      <w:highlight w:val="none"/>
                    </w:rPr>
                    <w:t>、存在商业经营活动使用高音喇叭以及在公共区域使用高音喇叭的</w:t>
                  </w:r>
                </w:p>
              </w:tc>
              <w:tc>
                <w:tcPr>
                  <w:tcW w:w="1026" w:type="pct"/>
                  <w:noWrap w:val="0"/>
                  <w:vAlign w:val="center"/>
                </w:tcPr>
                <w:p w14:paraId="06962117">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200元/宗</w:t>
                  </w:r>
                </w:p>
              </w:tc>
              <w:tc>
                <w:tcPr>
                  <w:tcW w:w="745" w:type="pct"/>
                  <w:noWrap w:val="0"/>
                  <w:vAlign w:val="center"/>
                </w:tcPr>
                <w:p w14:paraId="4AF098E3">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p>
              </w:tc>
            </w:tr>
            <w:tr w14:paraId="605C7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6" w:type="pct"/>
                  <w:vMerge w:val="continue"/>
                  <w:noWrap w:val="0"/>
                  <w:vAlign w:val="center"/>
                </w:tcPr>
                <w:p w14:paraId="43536967">
                  <w:pPr>
                    <w:widowControl/>
                    <w:spacing w:line="240" w:lineRule="auto"/>
                    <w:jc w:val="left"/>
                    <w:rPr>
                      <w:rFonts w:hint="eastAsia" w:asciiTheme="minorEastAsia" w:hAnsiTheme="minorEastAsia" w:eastAsiaTheme="minorEastAsia" w:cstheme="minorEastAsia"/>
                      <w:color w:val="auto"/>
                      <w:sz w:val="20"/>
                      <w:szCs w:val="20"/>
                      <w:highlight w:val="none"/>
                    </w:rPr>
                  </w:pPr>
                </w:p>
              </w:tc>
              <w:tc>
                <w:tcPr>
                  <w:tcW w:w="2691" w:type="pct"/>
                  <w:noWrap w:val="0"/>
                  <w:vAlign w:val="center"/>
                </w:tcPr>
                <w:p w14:paraId="62C8CFFF">
                  <w:pPr>
                    <w:pStyle w:val="9"/>
                    <w:adjustRightInd w:val="0"/>
                    <w:spacing w:line="240" w:lineRule="auto"/>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2</w:t>
                  </w:r>
                  <w:r>
                    <w:rPr>
                      <w:rFonts w:hint="eastAsia" w:asciiTheme="minorEastAsia" w:hAnsiTheme="minorEastAsia" w:eastAsiaTheme="minorEastAsia" w:cstheme="minorEastAsia"/>
                      <w:color w:val="auto"/>
                      <w:sz w:val="20"/>
                      <w:szCs w:val="20"/>
                      <w:highlight w:val="none"/>
                      <w:lang w:val="en-US" w:eastAsia="zh-CN"/>
                    </w:rPr>
                    <w:t>3</w:t>
                  </w:r>
                  <w:r>
                    <w:rPr>
                      <w:rFonts w:hint="eastAsia" w:asciiTheme="minorEastAsia" w:hAnsiTheme="minorEastAsia" w:eastAsiaTheme="minorEastAsia" w:cstheme="minorEastAsia"/>
                      <w:color w:val="auto"/>
                      <w:sz w:val="20"/>
                      <w:szCs w:val="20"/>
                      <w:highlight w:val="none"/>
                    </w:rPr>
                    <w:t>、在露天焚烧废弃物的</w:t>
                  </w:r>
                </w:p>
              </w:tc>
              <w:tc>
                <w:tcPr>
                  <w:tcW w:w="1026" w:type="pct"/>
                  <w:noWrap w:val="0"/>
                  <w:vAlign w:val="center"/>
                </w:tcPr>
                <w:p w14:paraId="2C4E149A">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50元/宗</w:t>
                  </w:r>
                </w:p>
              </w:tc>
              <w:tc>
                <w:tcPr>
                  <w:tcW w:w="745" w:type="pct"/>
                  <w:noWrap w:val="0"/>
                  <w:vAlign w:val="center"/>
                </w:tcPr>
                <w:p w14:paraId="030AA3F2">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p>
              </w:tc>
            </w:tr>
            <w:tr w14:paraId="706CF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536" w:type="pct"/>
                  <w:vMerge w:val="continue"/>
                  <w:noWrap w:val="0"/>
                  <w:vAlign w:val="center"/>
                </w:tcPr>
                <w:p w14:paraId="506F7CFB">
                  <w:pPr>
                    <w:widowControl/>
                    <w:spacing w:line="240" w:lineRule="auto"/>
                    <w:jc w:val="left"/>
                    <w:rPr>
                      <w:rFonts w:hint="eastAsia" w:asciiTheme="minorEastAsia" w:hAnsiTheme="minorEastAsia" w:eastAsiaTheme="minorEastAsia" w:cstheme="minorEastAsia"/>
                      <w:color w:val="auto"/>
                      <w:sz w:val="20"/>
                      <w:szCs w:val="20"/>
                      <w:highlight w:val="none"/>
                    </w:rPr>
                  </w:pPr>
                </w:p>
              </w:tc>
              <w:tc>
                <w:tcPr>
                  <w:tcW w:w="2691" w:type="pct"/>
                  <w:noWrap w:val="0"/>
                  <w:vAlign w:val="center"/>
                </w:tcPr>
                <w:p w14:paraId="41326F65">
                  <w:pPr>
                    <w:pStyle w:val="9"/>
                    <w:adjustRightInd w:val="0"/>
                    <w:spacing w:line="240" w:lineRule="auto"/>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2</w:t>
                  </w:r>
                  <w:r>
                    <w:rPr>
                      <w:rFonts w:hint="eastAsia" w:asciiTheme="minorEastAsia" w:hAnsiTheme="minorEastAsia" w:eastAsiaTheme="minorEastAsia" w:cstheme="minorEastAsia"/>
                      <w:color w:val="auto"/>
                      <w:sz w:val="20"/>
                      <w:szCs w:val="20"/>
                      <w:highlight w:val="none"/>
                      <w:lang w:val="en-US" w:eastAsia="zh-CN"/>
                    </w:rPr>
                    <w:t>4</w:t>
                  </w:r>
                  <w:r>
                    <w:rPr>
                      <w:rFonts w:hint="eastAsia" w:asciiTheme="minorEastAsia" w:hAnsiTheme="minorEastAsia" w:eastAsiaTheme="minorEastAsia" w:cstheme="minorEastAsia"/>
                      <w:color w:val="auto"/>
                      <w:sz w:val="20"/>
                      <w:szCs w:val="20"/>
                      <w:highlight w:val="none"/>
                    </w:rPr>
                    <w:t>、未经批准在街头、路面、灯光夜市进行营业性演出的</w:t>
                  </w:r>
                </w:p>
              </w:tc>
              <w:tc>
                <w:tcPr>
                  <w:tcW w:w="1026" w:type="pct"/>
                  <w:noWrap w:val="0"/>
                  <w:vAlign w:val="center"/>
                </w:tcPr>
                <w:p w14:paraId="3BE9B526">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1000元/宗</w:t>
                  </w:r>
                </w:p>
              </w:tc>
              <w:tc>
                <w:tcPr>
                  <w:tcW w:w="745" w:type="pct"/>
                  <w:noWrap w:val="0"/>
                  <w:vAlign w:val="center"/>
                </w:tcPr>
                <w:p w14:paraId="5C267978">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p>
              </w:tc>
            </w:tr>
            <w:tr w14:paraId="55029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6" w:type="pct"/>
                  <w:vMerge w:val="continue"/>
                  <w:noWrap w:val="0"/>
                  <w:vAlign w:val="center"/>
                </w:tcPr>
                <w:p w14:paraId="18A7202F">
                  <w:pPr>
                    <w:widowControl/>
                    <w:spacing w:line="240" w:lineRule="auto"/>
                    <w:jc w:val="left"/>
                    <w:rPr>
                      <w:rFonts w:hint="eastAsia" w:asciiTheme="minorEastAsia" w:hAnsiTheme="minorEastAsia" w:eastAsiaTheme="minorEastAsia" w:cstheme="minorEastAsia"/>
                      <w:color w:val="auto"/>
                      <w:sz w:val="20"/>
                      <w:szCs w:val="20"/>
                      <w:highlight w:val="none"/>
                    </w:rPr>
                  </w:pPr>
                </w:p>
              </w:tc>
              <w:tc>
                <w:tcPr>
                  <w:tcW w:w="2691" w:type="pct"/>
                  <w:noWrap w:val="0"/>
                  <w:vAlign w:val="center"/>
                </w:tcPr>
                <w:p w14:paraId="5F8B3C3A">
                  <w:pPr>
                    <w:pStyle w:val="9"/>
                    <w:adjustRightInd w:val="0"/>
                    <w:spacing w:line="240" w:lineRule="auto"/>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2</w:t>
                  </w:r>
                  <w:r>
                    <w:rPr>
                      <w:rFonts w:hint="eastAsia" w:asciiTheme="minorEastAsia" w:hAnsiTheme="minorEastAsia" w:eastAsiaTheme="minorEastAsia" w:cstheme="minorEastAsia"/>
                      <w:color w:val="auto"/>
                      <w:sz w:val="20"/>
                      <w:szCs w:val="20"/>
                      <w:highlight w:val="none"/>
                      <w:lang w:val="en-US" w:eastAsia="zh-CN"/>
                    </w:rPr>
                    <w:t>5</w:t>
                  </w:r>
                  <w:r>
                    <w:rPr>
                      <w:rFonts w:hint="eastAsia" w:asciiTheme="minorEastAsia" w:hAnsiTheme="minorEastAsia" w:eastAsiaTheme="minorEastAsia" w:cstheme="minorEastAsia"/>
                      <w:color w:val="auto"/>
                      <w:sz w:val="20"/>
                      <w:szCs w:val="20"/>
                      <w:highlight w:val="none"/>
                    </w:rPr>
                    <w:t>、未经批准在街头、路面、灯光夜市摆卖、兜售非法出版物的</w:t>
                  </w:r>
                </w:p>
              </w:tc>
              <w:tc>
                <w:tcPr>
                  <w:tcW w:w="1026" w:type="pct"/>
                  <w:noWrap w:val="0"/>
                  <w:vAlign w:val="center"/>
                </w:tcPr>
                <w:p w14:paraId="63E38EE0">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50元/宗</w:t>
                  </w:r>
                </w:p>
              </w:tc>
              <w:tc>
                <w:tcPr>
                  <w:tcW w:w="745" w:type="pct"/>
                  <w:noWrap w:val="0"/>
                  <w:vAlign w:val="center"/>
                </w:tcPr>
                <w:p w14:paraId="5F376587">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p>
              </w:tc>
            </w:tr>
            <w:tr w14:paraId="0DD1C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6" w:type="pct"/>
                  <w:vMerge w:val="continue"/>
                  <w:noWrap w:val="0"/>
                  <w:vAlign w:val="center"/>
                </w:tcPr>
                <w:p w14:paraId="5CB505ED">
                  <w:pPr>
                    <w:widowControl/>
                    <w:spacing w:line="240" w:lineRule="auto"/>
                    <w:jc w:val="left"/>
                    <w:rPr>
                      <w:rFonts w:hint="eastAsia" w:asciiTheme="minorEastAsia" w:hAnsiTheme="minorEastAsia" w:eastAsiaTheme="minorEastAsia" w:cstheme="minorEastAsia"/>
                      <w:color w:val="auto"/>
                      <w:sz w:val="20"/>
                      <w:szCs w:val="20"/>
                      <w:highlight w:val="none"/>
                    </w:rPr>
                  </w:pPr>
                </w:p>
              </w:tc>
              <w:tc>
                <w:tcPr>
                  <w:tcW w:w="2691" w:type="pct"/>
                  <w:noWrap w:val="0"/>
                  <w:vAlign w:val="center"/>
                </w:tcPr>
                <w:p w14:paraId="796929AB">
                  <w:pPr>
                    <w:pStyle w:val="9"/>
                    <w:adjustRightInd w:val="0"/>
                    <w:spacing w:line="240" w:lineRule="auto"/>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2</w:t>
                  </w:r>
                  <w:r>
                    <w:rPr>
                      <w:rFonts w:hint="eastAsia" w:asciiTheme="minorEastAsia" w:hAnsiTheme="minorEastAsia" w:eastAsiaTheme="minorEastAsia" w:cstheme="minorEastAsia"/>
                      <w:color w:val="auto"/>
                      <w:sz w:val="20"/>
                      <w:szCs w:val="20"/>
                      <w:highlight w:val="none"/>
                      <w:lang w:val="en-US" w:eastAsia="zh-CN"/>
                    </w:rPr>
                    <w:t>6</w:t>
                  </w:r>
                  <w:r>
                    <w:rPr>
                      <w:rFonts w:hint="eastAsia" w:asciiTheme="minorEastAsia" w:hAnsiTheme="minorEastAsia" w:eastAsiaTheme="minorEastAsia" w:cstheme="minorEastAsia"/>
                      <w:color w:val="auto"/>
                      <w:sz w:val="20"/>
                      <w:szCs w:val="20"/>
                      <w:highlight w:val="none"/>
                    </w:rPr>
                    <w:t>、存在门店未签订“门前三包”责任书的</w:t>
                  </w:r>
                </w:p>
              </w:tc>
              <w:tc>
                <w:tcPr>
                  <w:tcW w:w="1026" w:type="pct"/>
                  <w:noWrap w:val="0"/>
                  <w:vAlign w:val="center"/>
                </w:tcPr>
                <w:p w14:paraId="25D4FFDB">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100元/宗</w:t>
                  </w:r>
                </w:p>
              </w:tc>
              <w:tc>
                <w:tcPr>
                  <w:tcW w:w="745" w:type="pct"/>
                  <w:noWrap w:val="0"/>
                  <w:vAlign w:val="center"/>
                </w:tcPr>
                <w:p w14:paraId="7600B2BB">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p>
              </w:tc>
            </w:tr>
            <w:tr w14:paraId="02489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6" w:type="pct"/>
                  <w:vMerge w:val="continue"/>
                  <w:noWrap w:val="0"/>
                  <w:vAlign w:val="center"/>
                </w:tcPr>
                <w:p w14:paraId="0683A0EB">
                  <w:pPr>
                    <w:widowControl/>
                    <w:spacing w:line="240" w:lineRule="auto"/>
                    <w:jc w:val="left"/>
                    <w:rPr>
                      <w:rFonts w:hint="eastAsia" w:asciiTheme="minorEastAsia" w:hAnsiTheme="minorEastAsia" w:eastAsiaTheme="minorEastAsia" w:cstheme="minorEastAsia"/>
                      <w:color w:val="auto"/>
                      <w:sz w:val="20"/>
                      <w:szCs w:val="20"/>
                      <w:highlight w:val="none"/>
                    </w:rPr>
                  </w:pPr>
                </w:p>
              </w:tc>
              <w:tc>
                <w:tcPr>
                  <w:tcW w:w="2691" w:type="pct"/>
                  <w:noWrap w:val="0"/>
                  <w:vAlign w:val="center"/>
                </w:tcPr>
                <w:p w14:paraId="47535606">
                  <w:pPr>
                    <w:pStyle w:val="9"/>
                    <w:adjustRightInd w:val="0"/>
                    <w:spacing w:line="240" w:lineRule="auto"/>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2</w:t>
                  </w:r>
                  <w:r>
                    <w:rPr>
                      <w:rFonts w:hint="eastAsia" w:asciiTheme="minorEastAsia" w:hAnsiTheme="minorEastAsia" w:eastAsiaTheme="minorEastAsia" w:cstheme="minorEastAsia"/>
                      <w:color w:val="auto"/>
                      <w:sz w:val="20"/>
                      <w:szCs w:val="20"/>
                      <w:highlight w:val="none"/>
                      <w:lang w:val="en-US" w:eastAsia="zh-CN"/>
                    </w:rPr>
                    <w:t>7</w:t>
                  </w:r>
                  <w:r>
                    <w:rPr>
                      <w:rFonts w:hint="eastAsia" w:asciiTheme="minorEastAsia" w:hAnsiTheme="minorEastAsia" w:eastAsiaTheme="minorEastAsia" w:cstheme="minorEastAsia"/>
                      <w:color w:val="auto"/>
                      <w:sz w:val="20"/>
                      <w:szCs w:val="20"/>
                      <w:highlight w:val="none"/>
                    </w:rPr>
                    <w:t>、其它违反城市管理的行为</w:t>
                  </w:r>
                </w:p>
              </w:tc>
              <w:tc>
                <w:tcPr>
                  <w:tcW w:w="1026" w:type="pct"/>
                  <w:noWrap w:val="0"/>
                  <w:vAlign w:val="center"/>
                </w:tcPr>
                <w:p w14:paraId="263059F9">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100元/宗</w:t>
                  </w:r>
                </w:p>
              </w:tc>
              <w:tc>
                <w:tcPr>
                  <w:tcW w:w="745" w:type="pct"/>
                  <w:noWrap w:val="0"/>
                  <w:vAlign w:val="center"/>
                </w:tcPr>
                <w:p w14:paraId="6B308493">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p>
              </w:tc>
            </w:tr>
            <w:tr w14:paraId="6A4F1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6" w:type="pct"/>
                  <w:vMerge w:val="restart"/>
                  <w:noWrap w:val="0"/>
                  <w:vAlign w:val="center"/>
                </w:tcPr>
                <w:p w14:paraId="111973B4">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lang w:eastAsia="zh-CN"/>
                    </w:rPr>
                    <w:t>三</w:t>
                  </w:r>
                  <w:r>
                    <w:rPr>
                      <w:rFonts w:hint="eastAsia" w:asciiTheme="minorEastAsia" w:hAnsiTheme="minorEastAsia" w:eastAsiaTheme="minorEastAsia" w:cstheme="minorEastAsia"/>
                      <w:color w:val="auto"/>
                      <w:sz w:val="20"/>
                      <w:szCs w:val="20"/>
                      <w:highlight w:val="none"/>
                    </w:rPr>
                    <w:t>、公共监督</w:t>
                  </w:r>
                </w:p>
              </w:tc>
              <w:tc>
                <w:tcPr>
                  <w:tcW w:w="2691" w:type="pct"/>
                  <w:noWrap w:val="0"/>
                  <w:vAlign w:val="center"/>
                </w:tcPr>
                <w:p w14:paraId="36A24C75">
                  <w:pPr>
                    <w:pStyle w:val="9"/>
                    <w:adjustRightInd w:val="0"/>
                    <w:spacing w:line="240" w:lineRule="auto"/>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1、发生新闻媒体曝光事件</w:t>
                  </w:r>
                  <w:r>
                    <w:rPr>
                      <w:rFonts w:hint="eastAsia" w:asciiTheme="minorEastAsia" w:hAnsiTheme="minorEastAsia" w:eastAsiaTheme="minorEastAsia" w:cstheme="minorEastAsia"/>
                      <w:color w:val="auto"/>
                      <w:sz w:val="20"/>
                      <w:szCs w:val="20"/>
                      <w:highlight w:val="none"/>
                      <w:lang w:eastAsia="zh-CN"/>
                    </w:rPr>
                    <w:t>，</w:t>
                  </w:r>
                  <w:r>
                    <w:rPr>
                      <w:rFonts w:hint="eastAsia" w:asciiTheme="minorEastAsia" w:hAnsiTheme="minorEastAsia" w:eastAsiaTheme="minorEastAsia" w:cstheme="minorEastAsia"/>
                      <w:color w:val="auto"/>
                      <w:sz w:val="20"/>
                      <w:szCs w:val="20"/>
                      <w:highlight w:val="none"/>
                      <w:lang w:val="en-US" w:eastAsia="zh-CN"/>
                    </w:rPr>
                    <w:t>造成不良影响的</w:t>
                  </w:r>
                </w:p>
              </w:tc>
              <w:tc>
                <w:tcPr>
                  <w:tcW w:w="1026" w:type="pct"/>
                  <w:noWrap w:val="0"/>
                  <w:vAlign w:val="center"/>
                </w:tcPr>
                <w:p w14:paraId="078BC8F9">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lang w:val="en-US" w:eastAsia="zh-CN"/>
                    </w:rPr>
                    <w:t>10000</w:t>
                  </w:r>
                  <w:r>
                    <w:rPr>
                      <w:rFonts w:hint="eastAsia" w:asciiTheme="minorEastAsia" w:hAnsiTheme="minorEastAsia" w:eastAsiaTheme="minorEastAsia" w:cstheme="minorEastAsia"/>
                      <w:color w:val="auto"/>
                      <w:sz w:val="20"/>
                      <w:szCs w:val="20"/>
                      <w:highlight w:val="none"/>
                    </w:rPr>
                    <w:t>元/宗</w:t>
                  </w:r>
                </w:p>
              </w:tc>
              <w:tc>
                <w:tcPr>
                  <w:tcW w:w="745" w:type="pct"/>
                  <w:noWrap w:val="0"/>
                  <w:vAlign w:val="center"/>
                </w:tcPr>
                <w:p w14:paraId="2871348A">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p>
              </w:tc>
            </w:tr>
            <w:tr w14:paraId="18403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6" w:type="pct"/>
                  <w:vMerge w:val="continue"/>
                  <w:noWrap w:val="0"/>
                  <w:vAlign w:val="center"/>
                </w:tcPr>
                <w:p w14:paraId="4A0DD24B">
                  <w:pPr>
                    <w:widowControl/>
                    <w:spacing w:line="240" w:lineRule="auto"/>
                    <w:jc w:val="left"/>
                    <w:rPr>
                      <w:rFonts w:hint="eastAsia" w:asciiTheme="minorEastAsia" w:hAnsiTheme="minorEastAsia" w:eastAsiaTheme="minorEastAsia" w:cstheme="minorEastAsia"/>
                      <w:color w:val="auto"/>
                      <w:sz w:val="20"/>
                      <w:szCs w:val="20"/>
                      <w:highlight w:val="none"/>
                    </w:rPr>
                  </w:pPr>
                </w:p>
              </w:tc>
              <w:tc>
                <w:tcPr>
                  <w:tcW w:w="2691" w:type="pct"/>
                  <w:noWrap w:val="0"/>
                  <w:vAlign w:val="center"/>
                </w:tcPr>
                <w:p w14:paraId="0FDBC462">
                  <w:pPr>
                    <w:pStyle w:val="9"/>
                    <w:adjustRightInd w:val="0"/>
                    <w:spacing w:line="240" w:lineRule="auto"/>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2、发生市民、企业投诉有责事件</w:t>
                  </w:r>
                </w:p>
              </w:tc>
              <w:tc>
                <w:tcPr>
                  <w:tcW w:w="1026" w:type="pct"/>
                  <w:noWrap w:val="0"/>
                  <w:vAlign w:val="center"/>
                </w:tcPr>
                <w:p w14:paraId="25267CFE">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lang w:val="en-US" w:eastAsia="zh-CN"/>
                    </w:rPr>
                    <w:t>30</w:t>
                  </w:r>
                  <w:r>
                    <w:rPr>
                      <w:rFonts w:hint="eastAsia" w:asciiTheme="minorEastAsia" w:hAnsiTheme="minorEastAsia" w:eastAsiaTheme="minorEastAsia" w:cstheme="minorEastAsia"/>
                      <w:color w:val="auto"/>
                      <w:sz w:val="20"/>
                      <w:szCs w:val="20"/>
                      <w:highlight w:val="none"/>
                    </w:rPr>
                    <w:t>0元/宗</w:t>
                  </w:r>
                </w:p>
              </w:tc>
              <w:tc>
                <w:tcPr>
                  <w:tcW w:w="745" w:type="pct"/>
                  <w:noWrap w:val="0"/>
                  <w:vAlign w:val="center"/>
                </w:tcPr>
                <w:p w14:paraId="3C16BD21">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p>
              </w:tc>
            </w:tr>
            <w:tr w14:paraId="3AE03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6" w:type="pct"/>
                  <w:vMerge w:val="continue"/>
                  <w:noWrap w:val="0"/>
                  <w:vAlign w:val="center"/>
                </w:tcPr>
                <w:p w14:paraId="16955CD3">
                  <w:pPr>
                    <w:widowControl/>
                    <w:spacing w:line="240" w:lineRule="auto"/>
                    <w:jc w:val="left"/>
                    <w:rPr>
                      <w:rFonts w:hint="eastAsia" w:asciiTheme="minorEastAsia" w:hAnsiTheme="minorEastAsia" w:eastAsiaTheme="minorEastAsia" w:cstheme="minorEastAsia"/>
                      <w:color w:val="auto"/>
                      <w:sz w:val="20"/>
                      <w:szCs w:val="20"/>
                      <w:highlight w:val="none"/>
                    </w:rPr>
                  </w:pPr>
                </w:p>
              </w:tc>
              <w:tc>
                <w:tcPr>
                  <w:tcW w:w="2691" w:type="pct"/>
                  <w:noWrap w:val="0"/>
                  <w:vAlign w:val="center"/>
                </w:tcPr>
                <w:p w14:paraId="02931D3F">
                  <w:pPr>
                    <w:pStyle w:val="9"/>
                    <w:adjustRightInd w:val="0"/>
                    <w:spacing w:line="240" w:lineRule="auto"/>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3、出现市政府、市城管局、镇政府等上级部门和领导点名批评及督办的问题</w:t>
                  </w:r>
                </w:p>
              </w:tc>
              <w:tc>
                <w:tcPr>
                  <w:tcW w:w="1026" w:type="pct"/>
                  <w:noWrap w:val="0"/>
                  <w:vAlign w:val="center"/>
                </w:tcPr>
                <w:p w14:paraId="6DCABA28">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300元/宗</w:t>
                  </w:r>
                </w:p>
              </w:tc>
              <w:tc>
                <w:tcPr>
                  <w:tcW w:w="745" w:type="pct"/>
                  <w:noWrap w:val="0"/>
                  <w:vAlign w:val="center"/>
                </w:tcPr>
                <w:p w14:paraId="02D749EB">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p>
              </w:tc>
            </w:tr>
            <w:tr w14:paraId="478DA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6" w:type="pct"/>
                  <w:vMerge w:val="continue"/>
                  <w:noWrap w:val="0"/>
                  <w:vAlign w:val="center"/>
                </w:tcPr>
                <w:p w14:paraId="0AFA9098">
                  <w:pPr>
                    <w:widowControl/>
                    <w:spacing w:line="240" w:lineRule="auto"/>
                    <w:jc w:val="left"/>
                    <w:rPr>
                      <w:rFonts w:hint="eastAsia" w:asciiTheme="minorEastAsia" w:hAnsiTheme="minorEastAsia" w:eastAsiaTheme="minorEastAsia" w:cstheme="minorEastAsia"/>
                      <w:color w:val="auto"/>
                      <w:sz w:val="20"/>
                      <w:szCs w:val="20"/>
                      <w:highlight w:val="none"/>
                    </w:rPr>
                  </w:pPr>
                </w:p>
              </w:tc>
              <w:tc>
                <w:tcPr>
                  <w:tcW w:w="2691" w:type="pct"/>
                  <w:noWrap w:val="0"/>
                  <w:vAlign w:val="center"/>
                </w:tcPr>
                <w:p w14:paraId="0CCB2AD0">
                  <w:pPr>
                    <w:pStyle w:val="9"/>
                    <w:adjustRightInd w:val="0"/>
                    <w:spacing w:line="240" w:lineRule="auto"/>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4、一个月内同一地点两次以上受到市民、企业等同类投诉有责事件</w:t>
                  </w:r>
                </w:p>
              </w:tc>
              <w:tc>
                <w:tcPr>
                  <w:tcW w:w="1026" w:type="pct"/>
                  <w:noWrap w:val="0"/>
                  <w:vAlign w:val="center"/>
                </w:tcPr>
                <w:p w14:paraId="621A4D98">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500元/宗</w:t>
                  </w:r>
                </w:p>
              </w:tc>
              <w:tc>
                <w:tcPr>
                  <w:tcW w:w="745" w:type="pct"/>
                  <w:noWrap w:val="0"/>
                  <w:vAlign w:val="center"/>
                </w:tcPr>
                <w:p w14:paraId="3B4827E7">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p>
              </w:tc>
            </w:tr>
            <w:tr w14:paraId="04D07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6" w:type="pct"/>
                  <w:vMerge w:val="continue"/>
                  <w:noWrap w:val="0"/>
                  <w:vAlign w:val="center"/>
                </w:tcPr>
                <w:p w14:paraId="24001C04">
                  <w:pPr>
                    <w:widowControl/>
                    <w:spacing w:line="240" w:lineRule="auto"/>
                    <w:jc w:val="left"/>
                    <w:rPr>
                      <w:rFonts w:hint="eastAsia" w:asciiTheme="minorEastAsia" w:hAnsiTheme="minorEastAsia" w:eastAsiaTheme="minorEastAsia" w:cstheme="minorEastAsia"/>
                      <w:color w:val="auto"/>
                      <w:sz w:val="20"/>
                      <w:szCs w:val="20"/>
                      <w:highlight w:val="none"/>
                    </w:rPr>
                  </w:pPr>
                </w:p>
              </w:tc>
              <w:tc>
                <w:tcPr>
                  <w:tcW w:w="2691" w:type="pct"/>
                  <w:noWrap w:val="0"/>
                  <w:vAlign w:val="center"/>
                </w:tcPr>
                <w:p w14:paraId="5DAB08E6">
                  <w:pPr>
                    <w:pStyle w:val="9"/>
                    <w:adjustRightInd w:val="0"/>
                    <w:spacing w:line="240" w:lineRule="auto"/>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5、受到</w:t>
                  </w:r>
                  <w:r>
                    <w:rPr>
                      <w:rFonts w:hint="eastAsia" w:asciiTheme="minorEastAsia" w:hAnsiTheme="minorEastAsia" w:eastAsiaTheme="minorEastAsia" w:cstheme="minorEastAsia"/>
                      <w:color w:val="auto"/>
                      <w:sz w:val="20"/>
                      <w:szCs w:val="20"/>
                      <w:highlight w:val="none"/>
                      <w:lang w:val="en-US" w:eastAsia="zh-CN"/>
                    </w:rPr>
                    <w:t>镇</w:t>
                  </w:r>
                  <w:r>
                    <w:rPr>
                      <w:rFonts w:hint="eastAsia" w:asciiTheme="minorEastAsia" w:hAnsiTheme="minorEastAsia" w:eastAsiaTheme="minorEastAsia" w:cstheme="minorEastAsia"/>
                      <w:color w:val="auto"/>
                      <w:sz w:val="20"/>
                      <w:szCs w:val="20"/>
                      <w:highlight w:val="none"/>
                    </w:rPr>
                    <w:t>领导</w:t>
                  </w:r>
                  <w:r>
                    <w:rPr>
                      <w:rFonts w:hint="eastAsia" w:asciiTheme="minorEastAsia" w:hAnsiTheme="minorEastAsia" w:eastAsiaTheme="minorEastAsia" w:cstheme="minorEastAsia"/>
                      <w:color w:val="auto"/>
                      <w:sz w:val="20"/>
                      <w:szCs w:val="20"/>
                      <w:highlight w:val="none"/>
                      <w:lang w:val="en-US" w:eastAsia="zh-CN"/>
                    </w:rPr>
                    <w:t>以上</w:t>
                  </w:r>
                  <w:r>
                    <w:rPr>
                      <w:rFonts w:hint="eastAsia" w:asciiTheme="minorEastAsia" w:hAnsiTheme="minorEastAsia" w:eastAsiaTheme="minorEastAsia" w:cstheme="minorEastAsia"/>
                      <w:color w:val="auto"/>
                      <w:sz w:val="20"/>
                      <w:szCs w:val="20"/>
                      <w:highlight w:val="none"/>
                    </w:rPr>
                    <w:t>点名批评的城市管理问题没有及时整改整治</w:t>
                  </w:r>
                </w:p>
              </w:tc>
              <w:tc>
                <w:tcPr>
                  <w:tcW w:w="1026" w:type="pct"/>
                  <w:noWrap w:val="0"/>
                  <w:vAlign w:val="center"/>
                </w:tcPr>
                <w:p w14:paraId="7317D8C5">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300元/宗</w:t>
                  </w:r>
                </w:p>
              </w:tc>
              <w:tc>
                <w:tcPr>
                  <w:tcW w:w="745" w:type="pct"/>
                  <w:noWrap w:val="0"/>
                  <w:vAlign w:val="center"/>
                </w:tcPr>
                <w:p w14:paraId="4C48FF41">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p>
              </w:tc>
            </w:tr>
            <w:tr w14:paraId="19FD2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6" w:type="pct"/>
                  <w:vMerge w:val="continue"/>
                  <w:noWrap w:val="0"/>
                  <w:vAlign w:val="center"/>
                </w:tcPr>
                <w:p w14:paraId="7E779675">
                  <w:pPr>
                    <w:widowControl/>
                    <w:spacing w:line="240" w:lineRule="auto"/>
                    <w:jc w:val="left"/>
                    <w:rPr>
                      <w:rFonts w:hint="eastAsia" w:asciiTheme="minorEastAsia" w:hAnsiTheme="minorEastAsia" w:eastAsiaTheme="minorEastAsia" w:cstheme="minorEastAsia"/>
                      <w:color w:val="auto"/>
                      <w:sz w:val="20"/>
                      <w:szCs w:val="20"/>
                      <w:highlight w:val="none"/>
                    </w:rPr>
                  </w:pPr>
                </w:p>
              </w:tc>
              <w:tc>
                <w:tcPr>
                  <w:tcW w:w="2691" w:type="pct"/>
                  <w:noWrap w:val="0"/>
                  <w:vAlign w:val="center"/>
                </w:tcPr>
                <w:p w14:paraId="4344E4F9">
                  <w:pPr>
                    <w:pStyle w:val="9"/>
                    <w:adjustRightInd w:val="0"/>
                    <w:spacing w:line="240" w:lineRule="auto"/>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6、发生新闻媒体曝光事件未及时处理的，或再次发生的</w:t>
                  </w:r>
                </w:p>
              </w:tc>
              <w:tc>
                <w:tcPr>
                  <w:tcW w:w="1026" w:type="pct"/>
                  <w:noWrap w:val="0"/>
                  <w:vAlign w:val="center"/>
                </w:tcPr>
                <w:p w14:paraId="404E17FF">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100</w:t>
                  </w:r>
                  <w:r>
                    <w:rPr>
                      <w:rFonts w:hint="eastAsia" w:asciiTheme="minorEastAsia" w:hAnsiTheme="minorEastAsia" w:eastAsiaTheme="minorEastAsia" w:cstheme="minorEastAsia"/>
                      <w:color w:val="auto"/>
                      <w:sz w:val="20"/>
                      <w:szCs w:val="20"/>
                      <w:highlight w:val="none"/>
                      <w:lang w:val="en-US" w:eastAsia="zh-CN"/>
                    </w:rPr>
                    <w:t>0</w:t>
                  </w:r>
                  <w:r>
                    <w:rPr>
                      <w:rFonts w:hint="eastAsia" w:asciiTheme="minorEastAsia" w:hAnsiTheme="minorEastAsia" w:eastAsiaTheme="minorEastAsia" w:cstheme="minorEastAsia"/>
                      <w:color w:val="auto"/>
                      <w:sz w:val="20"/>
                      <w:szCs w:val="20"/>
                      <w:highlight w:val="none"/>
                    </w:rPr>
                    <w:t>0元/宗</w:t>
                  </w:r>
                </w:p>
              </w:tc>
              <w:tc>
                <w:tcPr>
                  <w:tcW w:w="745" w:type="pct"/>
                  <w:noWrap w:val="0"/>
                  <w:vAlign w:val="center"/>
                </w:tcPr>
                <w:p w14:paraId="3B4A7E99">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p>
              </w:tc>
            </w:tr>
            <w:tr w14:paraId="1B933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6" w:type="pct"/>
                  <w:vMerge w:val="restart"/>
                  <w:noWrap w:val="0"/>
                  <w:vAlign w:val="center"/>
                </w:tcPr>
                <w:p w14:paraId="527FA27C">
                  <w:pPr>
                    <w:widowControl/>
                    <w:spacing w:line="240" w:lineRule="auto"/>
                    <w:jc w:val="left"/>
                    <w:rPr>
                      <w:rFonts w:hint="eastAsia" w:asciiTheme="minorEastAsia" w:hAnsiTheme="minorEastAsia" w:eastAsiaTheme="minorEastAsia" w:cstheme="minorEastAsia"/>
                      <w:color w:val="auto"/>
                      <w:sz w:val="20"/>
                      <w:szCs w:val="20"/>
                      <w:highlight w:val="none"/>
                      <w:lang w:val="en-US" w:eastAsia="zh-CN"/>
                    </w:rPr>
                  </w:pPr>
                  <w:r>
                    <w:rPr>
                      <w:rFonts w:hint="eastAsia" w:asciiTheme="minorEastAsia" w:hAnsiTheme="minorEastAsia" w:eastAsiaTheme="minorEastAsia" w:cstheme="minorEastAsia"/>
                      <w:color w:val="auto"/>
                      <w:sz w:val="20"/>
                      <w:szCs w:val="20"/>
                      <w:highlight w:val="none"/>
                      <w:lang w:val="en-US" w:eastAsia="zh-CN"/>
                    </w:rPr>
                    <w:t>四、违建巡查</w:t>
                  </w:r>
                </w:p>
              </w:tc>
              <w:tc>
                <w:tcPr>
                  <w:tcW w:w="2691" w:type="pct"/>
                  <w:noWrap w:val="0"/>
                  <w:vAlign w:val="center"/>
                </w:tcPr>
                <w:p w14:paraId="527E0041">
                  <w:pPr>
                    <w:pStyle w:val="9"/>
                    <w:adjustRightInd w:val="0"/>
                    <w:spacing w:line="240" w:lineRule="auto"/>
                    <w:rPr>
                      <w:rFonts w:hint="eastAsia" w:asciiTheme="minorEastAsia" w:hAnsiTheme="minorEastAsia" w:eastAsiaTheme="minorEastAsia" w:cstheme="minorEastAsia"/>
                      <w:color w:val="auto"/>
                      <w:sz w:val="20"/>
                      <w:szCs w:val="20"/>
                      <w:highlight w:val="none"/>
                      <w:lang w:val="en-US" w:eastAsia="zh-CN"/>
                    </w:rPr>
                  </w:pPr>
                  <w:r>
                    <w:rPr>
                      <w:rFonts w:hint="eastAsia" w:asciiTheme="minorEastAsia" w:hAnsiTheme="minorEastAsia" w:eastAsiaTheme="minorEastAsia" w:cstheme="minorEastAsia"/>
                      <w:color w:val="auto"/>
                      <w:sz w:val="20"/>
                      <w:szCs w:val="20"/>
                      <w:highlight w:val="none"/>
                      <w:lang w:val="en-US" w:eastAsia="zh-CN"/>
                    </w:rPr>
                    <w:t>1、未能及时发现新增违章建筑</w:t>
                  </w:r>
                </w:p>
              </w:tc>
              <w:tc>
                <w:tcPr>
                  <w:tcW w:w="1026" w:type="pct"/>
                  <w:noWrap w:val="0"/>
                  <w:vAlign w:val="center"/>
                </w:tcPr>
                <w:p w14:paraId="3490C9DA">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lang w:val="en-US" w:eastAsia="zh-CN"/>
                    </w:rPr>
                    <w:t>5</w:t>
                  </w:r>
                  <w:r>
                    <w:rPr>
                      <w:rFonts w:hint="eastAsia" w:asciiTheme="minorEastAsia" w:hAnsiTheme="minorEastAsia" w:eastAsiaTheme="minorEastAsia" w:cstheme="minorEastAsia"/>
                      <w:color w:val="auto"/>
                      <w:sz w:val="20"/>
                      <w:szCs w:val="20"/>
                      <w:highlight w:val="none"/>
                    </w:rPr>
                    <w:t>000元/宗</w:t>
                  </w:r>
                </w:p>
              </w:tc>
              <w:tc>
                <w:tcPr>
                  <w:tcW w:w="745" w:type="pct"/>
                  <w:noWrap w:val="0"/>
                  <w:vAlign w:val="center"/>
                </w:tcPr>
                <w:p w14:paraId="48E3735F">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p>
              </w:tc>
            </w:tr>
            <w:tr w14:paraId="2966B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6" w:type="pct"/>
                  <w:vMerge w:val="continue"/>
                  <w:noWrap w:val="0"/>
                  <w:vAlign w:val="center"/>
                </w:tcPr>
                <w:p w14:paraId="52DEE2C6">
                  <w:pPr>
                    <w:widowControl/>
                    <w:spacing w:line="240" w:lineRule="auto"/>
                    <w:jc w:val="left"/>
                    <w:rPr>
                      <w:rFonts w:hint="eastAsia" w:asciiTheme="minorEastAsia" w:hAnsiTheme="minorEastAsia" w:eastAsiaTheme="minorEastAsia" w:cstheme="minorEastAsia"/>
                      <w:color w:val="auto"/>
                      <w:sz w:val="20"/>
                      <w:szCs w:val="20"/>
                      <w:highlight w:val="none"/>
                    </w:rPr>
                  </w:pPr>
                </w:p>
              </w:tc>
              <w:tc>
                <w:tcPr>
                  <w:tcW w:w="2691" w:type="pct"/>
                  <w:noWrap w:val="0"/>
                  <w:vAlign w:val="center"/>
                </w:tcPr>
                <w:p w14:paraId="15EEA5B2">
                  <w:pPr>
                    <w:pStyle w:val="9"/>
                    <w:adjustRightInd w:val="0"/>
                    <w:spacing w:line="240" w:lineRule="auto"/>
                    <w:rPr>
                      <w:rFonts w:hint="eastAsia" w:asciiTheme="minorEastAsia" w:hAnsiTheme="minorEastAsia" w:eastAsiaTheme="minorEastAsia" w:cstheme="minorEastAsia"/>
                      <w:color w:val="auto"/>
                      <w:sz w:val="20"/>
                      <w:szCs w:val="20"/>
                      <w:highlight w:val="none"/>
                      <w:lang w:val="en-US" w:eastAsia="zh-CN"/>
                    </w:rPr>
                  </w:pPr>
                  <w:r>
                    <w:rPr>
                      <w:rFonts w:hint="eastAsia" w:asciiTheme="minorEastAsia" w:hAnsiTheme="minorEastAsia" w:eastAsiaTheme="minorEastAsia" w:cstheme="minorEastAsia"/>
                      <w:color w:val="auto"/>
                      <w:sz w:val="20"/>
                      <w:szCs w:val="20"/>
                      <w:highlight w:val="none"/>
                      <w:lang w:val="en-US" w:eastAsia="zh-CN"/>
                    </w:rPr>
                    <w:t>2、未及时制止违法建设行为</w:t>
                  </w:r>
                </w:p>
              </w:tc>
              <w:tc>
                <w:tcPr>
                  <w:tcW w:w="1026" w:type="pct"/>
                  <w:noWrap w:val="0"/>
                  <w:vAlign w:val="center"/>
                </w:tcPr>
                <w:p w14:paraId="1312E3E0">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lang w:val="en-US" w:eastAsia="zh-CN"/>
                    </w:rPr>
                    <w:t>5</w:t>
                  </w:r>
                  <w:r>
                    <w:rPr>
                      <w:rFonts w:hint="eastAsia" w:asciiTheme="minorEastAsia" w:hAnsiTheme="minorEastAsia" w:eastAsiaTheme="minorEastAsia" w:cstheme="minorEastAsia"/>
                      <w:color w:val="auto"/>
                      <w:sz w:val="20"/>
                      <w:szCs w:val="20"/>
                      <w:highlight w:val="none"/>
                    </w:rPr>
                    <w:t>000元/宗</w:t>
                  </w:r>
                </w:p>
              </w:tc>
              <w:tc>
                <w:tcPr>
                  <w:tcW w:w="745" w:type="pct"/>
                  <w:noWrap w:val="0"/>
                  <w:vAlign w:val="center"/>
                </w:tcPr>
                <w:p w14:paraId="3532B193">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p>
              </w:tc>
            </w:tr>
            <w:tr w14:paraId="1A308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6" w:type="pct"/>
                  <w:vMerge w:val="continue"/>
                  <w:noWrap w:val="0"/>
                  <w:vAlign w:val="center"/>
                </w:tcPr>
                <w:p w14:paraId="2AB3C02C">
                  <w:pPr>
                    <w:widowControl/>
                    <w:spacing w:line="240" w:lineRule="auto"/>
                    <w:jc w:val="left"/>
                    <w:rPr>
                      <w:rFonts w:hint="eastAsia" w:asciiTheme="minorEastAsia" w:hAnsiTheme="minorEastAsia" w:eastAsiaTheme="minorEastAsia" w:cstheme="minorEastAsia"/>
                      <w:color w:val="auto"/>
                      <w:sz w:val="20"/>
                      <w:szCs w:val="20"/>
                      <w:highlight w:val="none"/>
                    </w:rPr>
                  </w:pPr>
                </w:p>
              </w:tc>
              <w:tc>
                <w:tcPr>
                  <w:tcW w:w="2691" w:type="pct"/>
                  <w:noWrap w:val="0"/>
                  <w:vAlign w:val="center"/>
                </w:tcPr>
                <w:p w14:paraId="0E2E03C7">
                  <w:pPr>
                    <w:pStyle w:val="9"/>
                    <w:adjustRightInd w:val="0"/>
                    <w:spacing w:line="240" w:lineRule="auto"/>
                    <w:rPr>
                      <w:rFonts w:hint="eastAsia" w:asciiTheme="minorEastAsia" w:hAnsiTheme="minorEastAsia" w:eastAsiaTheme="minorEastAsia" w:cstheme="minorEastAsia"/>
                      <w:color w:val="auto"/>
                      <w:sz w:val="20"/>
                      <w:szCs w:val="20"/>
                      <w:highlight w:val="none"/>
                      <w:lang w:val="en-US" w:eastAsia="zh-CN"/>
                    </w:rPr>
                  </w:pPr>
                  <w:r>
                    <w:rPr>
                      <w:rFonts w:hint="eastAsia" w:asciiTheme="minorEastAsia" w:hAnsiTheme="minorEastAsia" w:eastAsiaTheme="minorEastAsia" w:cstheme="minorEastAsia"/>
                      <w:color w:val="auto"/>
                      <w:sz w:val="20"/>
                      <w:szCs w:val="20"/>
                      <w:highlight w:val="none"/>
                      <w:lang w:val="en-US" w:eastAsia="zh-CN"/>
                    </w:rPr>
                    <w:t>3、出现瞒报或漏报违章建筑</w:t>
                  </w:r>
                </w:p>
              </w:tc>
              <w:tc>
                <w:tcPr>
                  <w:tcW w:w="1026" w:type="pct"/>
                  <w:noWrap w:val="0"/>
                  <w:vAlign w:val="center"/>
                </w:tcPr>
                <w:p w14:paraId="4385A6ED">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lang w:val="en-US" w:eastAsia="zh-CN"/>
                    </w:rPr>
                    <w:t>5</w:t>
                  </w:r>
                  <w:r>
                    <w:rPr>
                      <w:rFonts w:hint="eastAsia" w:asciiTheme="minorEastAsia" w:hAnsiTheme="minorEastAsia" w:eastAsiaTheme="minorEastAsia" w:cstheme="minorEastAsia"/>
                      <w:color w:val="auto"/>
                      <w:sz w:val="20"/>
                      <w:szCs w:val="20"/>
                      <w:highlight w:val="none"/>
                    </w:rPr>
                    <w:t>000元/宗</w:t>
                  </w:r>
                </w:p>
              </w:tc>
              <w:tc>
                <w:tcPr>
                  <w:tcW w:w="745" w:type="pct"/>
                  <w:noWrap w:val="0"/>
                  <w:vAlign w:val="center"/>
                </w:tcPr>
                <w:p w14:paraId="030B868A">
                  <w:pPr>
                    <w:pStyle w:val="9"/>
                    <w:adjustRightInd w:val="0"/>
                    <w:spacing w:line="240" w:lineRule="auto"/>
                    <w:jc w:val="center"/>
                    <w:rPr>
                      <w:rFonts w:hint="eastAsia" w:asciiTheme="minorEastAsia" w:hAnsiTheme="minorEastAsia" w:eastAsiaTheme="minorEastAsia" w:cstheme="minorEastAsia"/>
                      <w:color w:val="auto"/>
                      <w:sz w:val="20"/>
                      <w:szCs w:val="20"/>
                      <w:highlight w:val="none"/>
                    </w:rPr>
                  </w:pPr>
                </w:p>
              </w:tc>
            </w:tr>
          </w:tbl>
          <w:p w14:paraId="3A199CE6">
            <w:pPr>
              <w:pStyle w:val="8"/>
              <w:keepNext w:val="0"/>
              <w:keepLines w:val="0"/>
              <w:pageBreakBefore w:val="0"/>
              <w:kinsoku/>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sz w:val="20"/>
                <w:szCs w:val="20"/>
                <w:highlight w:val="none"/>
              </w:rPr>
            </w:pPr>
          </w:p>
        </w:tc>
      </w:tr>
      <w:tr w14:paraId="1C1537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1" w:type="pct"/>
            <w:noWrap w:val="0"/>
            <w:vAlign w:val="top"/>
          </w:tcPr>
          <w:p w14:paraId="7AE5A3BD">
            <w:pPr>
              <w:pStyle w:val="8"/>
              <w:keepNext w:val="0"/>
              <w:keepLines w:val="0"/>
              <w:pageBreakBefore w:val="0"/>
              <w:kinsoku/>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说明</w:t>
            </w:r>
          </w:p>
        </w:tc>
        <w:tc>
          <w:tcPr>
            <w:tcW w:w="4638" w:type="pct"/>
            <w:gridSpan w:val="2"/>
            <w:noWrap w:val="0"/>
            <w:vAlign w:val="top"/>
          </w:tcPr>
          <w:p w14:paraId="3D09671B">
            <w:pPr>
              <w:pStyle w:val="8"/>
              <w:keepNext w:val="0"/>
              <w:keepLines w:val="0"/>
              <w:pageBreakBefore w:val="0"/>
              <w:kinsoku/>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 xml:space="preserve"> 打“★”号条款为实质性条款，若有任何一条负偏离或不满足则导致投标无效。 </w:t>
            </w:r>
            <w:r>
              <w:rPr>
                <w:rFonts w:hint="eastAsia" w:asciiTheme="minorEastAsia" w:hAnsiTheme="minorEastAsia" w:eastAsiaTheme="minorEastAsia" w:cstheme="minorEastAsia"/>
                <w:sz w:val="20"/>
                <w:szCs w:val="20"/>
                <w:highlight w:val="none"/>
              </w:rPr>
              <w:br w:type="textWrapping"/>
            </w:r>
            <w:r>
              <w:rPr>
                <w:rFonts w:hint="eastAsia" w:asciiTheme="minorEastAsia" w:hAnsiTheme="minorEastAsia" w:eastAsiaTheme="minorEastAsia" w:cstheme="minorEastAsia"/>
                <w:sz w:val="20"/>
                <w:szCs w:val="20"/>
                <w:highlight w:val="none"/>
              </w:rPr>
              <w:t>打“▲”号条款为重要技术参数，若有部分“▲”条款未响应或不满足，将导致其响应性评审加重扣分，但不作为无效投标条款。</w:t>
            </w:r>
          </w:p>
        </w:tc>
      </w:tr>
    </w:tbl>
    <w:p w14:paraId="6BD05BBB">
      <w:pPr>
        <w:rPr>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decorative"/>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FFB49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toc 2"/>
    <w:basedOn w:val="1"/>
    <w:next w:val="1"/>
    <w:unhideWhenUsed/>
    <w:qFormat/>
    <w:uiPriority w:val="39"/>
    <w:pPr>
      <w:ind w:left="420" w:leftChars="200"/>
    </w:pPr>
  </w:style>
  <w:style w:type="paragraph" w:styleId="3">
    <w:name w:val="annotation text"/>
    <w:basedOn w:val="1"/>
    <w:qFormat/>
    <w:uiPriority w:val="0"/>
    <w:pPr>
      <w:jc w:val="left"/>
    </w:pPr>
  </w:style>
  <w:style w:type="paragraph" w:styleId="4">
    <w:name w:val="Plain Text"/>
    <w:basedOn w:val="1"/>
    <w:unhideWhenUsed/>
    <w:qFormat/>
    <w:uiPriority w:val="99"/>
    <w:rPr>
      <w:rFonts w:ascii="宋体" w:hAnsi="Courier New"/>
      <w:szCs w:val="20"/>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null3"/>
    <w:hidden/>
    <w:qFormat/>
    <w:uiPriority w:val="0"/>
    <w:rPr>
      <w:rFonts w:hint="eastAsia" w:asciiTheme="minorHAnsi" w:hAnsiTheme="minorHAnsi" w:eastAsiaTheme="minorEastAsia" w:cstheme="minorBidi"/>
      <w:lang w:val="en-US" w:eastAsia="zh-Hans"/>
    </w:rPr>
  </w:style>
  <w:style w:type="paragraph" w:customStyle="1" w:styleId="9">
    <w:name w:val="5"/>
    <w:basedOn w:val="1"/>
    <w:next w:val="4"/>
    <w:qFormat/>
    <w:uiPriority w:val="0"/>
    <w:rPr>
      <w:rFonts w:ascii="宋体" w:hAnsi="Courier New" w:cs="宋体"/>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2026-10-19T08:33:17Z</dcterms:created>
  <dc:creator>daniel</dc:creator>
  <cp:lastModifiedBy>D</cp:lastModifiedBy>
  <dcterms:modified xsi:type="dcterms:W3CDTF">2026-10-19T08:34:22Z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eyJoZGlkIjoiMGVkN2U3NjcyMzQ3ZDhjMDFiMzc2YTc4YjUyOTRiZWMiLCJ1c2VySWQiOiIyNjg1NzQxNTcifQ==</vt:lpwstr>
  </property>
  <property fmtid="{D5CDD505-2E9C-101B-9397-08002B2CF9AE}" pid="4" name="ICV">
    <vt:lpwstr>BDBD30DA008B46A28884145E67EB23A8_12</vt:lpwstr>
  </property>
</Properties>
</file>